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36F3" w14:textId="511ADE72" w:rsidR="00BF0202" w:rsidRPr="0093113E" w:rsidRDefault="00BF0202" w:rsidP="00A52BB2">
      <w:pPr>
        <w:pStyle w:val="Data"/>
        <w:spacing w:before="0" w:after="0" w:line="360" w:lineRule="auto"/>
        <w:rPr>
          <w:rFonts w:asciiTheme="minorHAnsi" w:hAnsiTheme="minorHAnsi" w:cstheme="minorHAnsi"/>
        </w:rPr>
      </w:pPr>
      <w:r w:rsidRPr="0093113E">
        <w:rPr>
          <w:rFonts w:asciiTheme="minorHAnsi" w:hAnsiTheme="minorHAnsi" w:cstheme="minorHAnsi"/>
        </w:rPr>
        <w:t>Kraków, 1</w:t>
      </w:r>
      <w:r w:rsidR="00E932A8">
        <w:rPr>
          <w:rFonts w:asciiTheme="minorHAnsi" w:hAnsiTheme="minorHAnsi" w:cstheme="minorHAnsi"/>
        </w:rPr>
        <w:t>6</w:t>
      </w:r>
      <w:r w:rsidRPr="0093113E">
        <w:rPr>
          <w:rFonts w:asciiTheme="minorHAnsi" w:hAnsiTheme="minorHAnsi" w:cstheme="minorHAnsi"/>
        </w:rPr>
        <w:t xml:space="preserve"> marca 2023 roku</w:t>
      </w:r>
    </w:p>
    <w:p w14:paraId="7349F43F" w14:textId="77777777" w:rsidR="00BF0202" w:rsidRPr="0093113E" w:rsidRDefault="00BF0202" w:rsidP="00A52BB2">
      <w:pPr>
        <w:pStyle w:val="Data"/>
        <w:spacing w:before="0" w:after="0" w:line="360" w:lineRule="auto"/>
        <w:jc w:val="both"/>
        <w:rPr>
          <w:rFonts w:asciiTheme="minorHAnsi" w:hAnsiTheme="minorHAnsi" w:cstheme="minorHAnsi"/>
        </w:rPr>
      </w:pPr>
    </w:p>
    <w:p w14:paraId="772C0B58" w14:textId="1D0EF36E" w:rsidR="00BF0202" w:rsidRPr="0093113E" w:rsidRDefault="00BF0202" w:rsidP="00A52BB2">
      <w:pPr>
        <w:pStyle w:val="adresat1"/>
        <w:spacing w:line="360" w:lineRule="auto"/>
        <w:jc w:val="both"/>
        <w:rPr>
          <w:rFonts w:asciiTheme="minorHAnsi" w:hAnsiTheme="minorHAnsi" w:cstheme="minorHAnsi"/>
        </w:rPr>
      </w:pPr>
      <w:r w:rsidRPr="0093113E">
        <w:rPr>
          <w:rFonts w:asciiTheme="minorHAnsi" w:hAnsiTheme="minorHAnsi" w:cstheme="minorHAnsi"/>
        </w:rPr>
        <w:t>Sąd Rejonowy dla Warszawy-</w:t>
      </w:r>
      <w:r w:rsidR="0077667D" w:rsidRPr="0093113E">
        <w:rPr>
          <w:rFonts w:asciiTheme="minorHAnsi" w:hAnsiTheme="minorHAnsi" w:cstheme="minorHAnsi"/>
        </w:rPr>
        <w:t>Mokotowa w Warszawie</w:t>
      </w:r>
    </w:p>
    <w:p w14:paraId="6FBC35E9" w14:textId="4D8B5AE8" w:rsidR="00BF0202" w:rsidRPr="0093113E" w:rsidRDefault="00BF0202" w:rsidP="00A52BB2">
      <w:pPr>
        <w:pStyle w:val="adresat1"/>
        <w:spacing w:line="360" w:lineRule="auto"/>
        <w:jc w:val="both"/>
        <w:rPr>
          <w:rFonts w:asciiTheme="minorHAnsi" w:hAnsiTheme="minorHAnsi" w:cstheme="minorHAnsi"/>
        </w:rPr>
      </w:pPr>
      <w:r w:rsidRPr="0093113E">
        <w:rPr>
          <w:rFonts w:asciiTheme="minorHAnsi" w:hAnsiTheme="minorHAnsi" w:cstheme="minorHAnsi"/>
        </w:rPr>
        <w:t>I Wydział Cywilny</w:t>
      </w:r>
      <w:r w:rsidR="0077667D" w:rsidRPr="0093113E">
        <w:rPr>
          <w:rFonts w:asciiTheme="minorHAnsi" w:hAnsiTheme="minorHAnsi" w:cstheme="minorHAnsi"/>
        </w:rPr>
        <w:t xml:space="preserve">, </w:t>
      </w:r>
      <w:r w:rsidR="0077667D" w:rsidRPr="0093113E">
        <w:rPr>
          <w:rFonts w:asciiTheme="minorHAnsi" w:hAnsiTheme="minorHAnsi" w:cstheme="minorHAnsi"/>
          <w:bCs/>
        </w:rPr>
        <w:t>Sekcja do rozpoznawania spraw egzekucyjnych</w:t>
      </w:r>
      <w:r w:rsidRPr="0093113E">
        <w:rPr>
          <w:rFonts w:asciiTheme="minorHAnsi" w:hAnsiTheme="minorHAnsi" w:cstheme="minorHAnsi"/>
        </w:rPr>
        <w:t xml:space="preserve"> </w:t>
      </w:r>
    </w:p>
    <w:p w14:paraId="52012C86" w14:textId="77777777" w:rsidR="00BF0202" w:rsidRPr="0093113E" w:rsidRDefault="00BF0202" w:rsidP="00A52BB2">
      <w:pPr>
        <w:pStyle w:val="adresat1"/>
        <w:spacing w:line="360" w:lineRule="auto"/>
        <w:jc w:val="both"/>
        <w:rPr>
          <w:rFonts w:asciiTheme="minorHAnsi" w:hAnsiTheme="minorHAnsi" w:cstheme="minorHAnsi"/>
          <w:b w:val="0"/>
        </w:rPr>
      </w:pPr>
    </w:p>
    <w:p w14:paraId="12160379" w14:textId="77777777" w:rsidR="00BF0202" w:rsidRPr="0093113E" w:rsidRDefault="00BF0202" w:rsidP="00A52BB2">
      <w:pPr>
        <w:pStyle w:val="adresat1"/>
        <w:spacing w:line="360" w:lineRule="auto"/>
        <w:jc w:val="both"/>
        <w:rPr>
          <w:rFonts w:asciiTheme="minorHAnsi" w:hAnsiTheme="minorHAnsi" w:cstheme="minorHAnsi"/>
          <w:b w:val="0"/>
          <w:bCs/>
        </w:rPr>
      </w:pPr>
      <w:r w:rsidRPr="0093113E">
        <w:rPr>
          <w:rFonts w:asciiTheme="minorHAnsi" w:hAnsiTheme="minorHAnsi" w:cstheme="minorHAnsi"/>
          <w:b w:val="0"/>
          <w:bCs/>
        </w:rPr>
        <w:t>za pośrednictwem</w:t>
      </w:r>
    </w:p>
    <w:p w14:paraId="6829FF91" w14:textId="2E3E42D5" w:rsidR="0077667D" w:rsidRPr="0093113E" w:rsidRDefault="0077667D" w:rsidP="00A52BB2">
      <w:pPr>
        <w:pStyle w:val="adresat2"/>
        <w:spacing w:line="360" w:lineRule="auto"/>
        <w:jc w:val="both"/>
        <w:rPr>
          <w:rFonts w:asciiTheme="minorHAnsi" w:hAnsiTheme="minorHAnsi" w:cstheme="minorHAnsi"/>
          <w:u w:val="single"/>
        </w:rPr>
      </w:pPr>
    </w:p>
    <w:p w14:paraId="69FFA066"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Komornika Sądowego </w:t>
      </w:r>
    </w:p>
    <w:p w14:paraId="76A98171"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przy Sądzie Rejonowym dla Warszawy-Mokotowa w Warszawie </w:t>
      </w:r>
    </w:p>
    <w:p w14:paraId="75FFDD22"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Karola Gołębiewskiego </w:t>
      </w:r>
    </w:p>
    <w:p w14:paraId="09E64022" w14:textId="77777777" w:rsidR="0077667D" w:rsidRPr="0093113E" w:rsidRDefault="0077667D" w:rsidP="00A52BB2">
      <w:pPr>
        <w:pStyle w:val="adresat2"/>
        <w:spacing w:line="360" w:lineRule="auto"/>
        <w:jc w:val="both"/>
        <w:rPr>
          <w:rFonts w:asciiTheme="minorHAnsi" w:hAnsiTheme="minorHAnsi" w:cstheme="minorHAnsi"/>
        </w:rPr>
      </w:pPr>
      <w:r w:rsidRPr="0093113E">
        <w:rPr>
          <w:rFonts w:asciiTheme="minorHAnsi" w:hAnsiTheme="minorHAnsi" w:cstheme="minorHAnsi"/>
        </w:rPr>
        <w:t xml:space="preserve">Kancelaria Komornicza nr VI w Warszawie </w:t>
      </w:r>
    </w:p>
    <w:p w14:paraId="2596A119" w14:textId="4FB911A1" w:rsidR="0077667D" w:rsidRPr="0093113E" w:rsidRDefault="0077667D" w:rsidP="00A52BB2">
      <w:pPr>
        <w:pStyle w:val="adresat2"/>
        <w:spacing w:line="360" w:lineRule="auto"/>
        <w:jc w:val="both"/>
        <w:rPr>
          <w:rFonts w:asciiTheme="minorHAnsi" w:hAnsiTheme="minorHAnsi" w:cstheme="minorHAnsi"/>
          <w:b/>
          <w:bCs/>
          <w:u w:val="single"/>
        </w:rPr>
      </w:pPr>
      <w:r w:rsidRPr="0093113E">
        <w:rPr>
          <w:rFonts w:asciiTheme="minorHAnsi" w:hAnsiTheme="minorHAnsi" w:cstheme="minorHAnsi"/>
        </w:rPr>
        <w:t>ul. J.P. Woronicza 31/73, 02-640 Warszawa</w:t>
      </w:r>
    </w:p>
    <w:p w14:paraId="32329313" w14:textId="77777777" w:rsidR="00BF0202" w:rsidRPr="0093113E" w:rsidRDefault="00BF0202" w:rsidP="00A52BB2">
      <w:pPr>
        <w:pStyle w:val="adresat2"/>
        <w:spacing w:line="360" w:lineRule="auto"/>
        <w:jc w:val="both"/>
        <w:rPr>
          <w:rFonts w:asciiTheme="minorHAnsi" w:hAnsiTheme="minorHAnsi" w:cstheme="minorHAnsi"/>
          <w:highlight w:val="yellow"/>
          <w:u w:val="single"/>
        </w:rPr>
      </w:pPr>
    </w:p>
    <w:p w14:paraId="050C7815" w14:textId="77777777" w:rsidR="0077667D" w:rsidRPr="0093113E" w:rsidRDefault="00BF0202" w:rsidP="00A52BB2">
      <w:pPr>
        <w:spacing w:after="0" w:line="360" w:lineRule="auto"/>
        <w:jc w:val="both"/>
        <w:rPr>
          <w:rFonts w:cstheme="minorHAnsi"/>
          <w:b/>
        </w:rPr>
      </w:pPr>
      <w:r w:rsidRPr="0093113E">
        <w:rPr>
          <w:rFonts w:cstheme="minorHAnsi"/>
          <w:b/>
        </w:rPr>
        <w:t>Dłużnik:</w:t>
      </w:r>
      <w:r w:rsidRPr="0093113E">
        <w:rPr>
          <w:rFonts w:cstheme="minorHAnsi"/>
          <w:b/>
        </w:rPr>
        <w:tab/>
      </w:r>
    </w:p>
    <w:p w14:paraId="096EC324" w14:textId="3C758F6F" w:rsidR="0077667D" w:rsidRPr="0093113E" w:rsidRDefault="0077667D" w:rsidP="00A52BB2">
      <w:pPr>
        <w:spacing w:after="0" w:line="360" w:lineRule="auto"/>
        <w:ind w:left="708"/>
        <w:jc w:val="both"/>
        <w:rPr>
          <w:rFonts w:cstheme="minorHAnsi"/>
          <w:b/>
          <w:bCs/>
        </w:rPr>
      </w:pPr>
      <w:r w:rsidRPr="0093113E">
        <w:rPr>
          <w:rFonts w:cstheme="minorHAnsi"/>
          <w:b/>
          <w:bCs/>
        </w:rPr>
        <w:t>GGH Management 10 sp. z o.o. z siedzibą w Warszawie</w:t>
      </w:r>
    </w:p>
    <w:p w14:paraId="7940E2F6" w14:textId="77777777" w:rsidR="0077667D" w:rsidRPr="0093113E" w:rsidRDefault="0077667D" w:rsidP="00A52BB2">
      <w:pPr>
        <w:spacing w:after="0" w:line="360" w:lineRule="auto"/>
        <w:ind w:left="708"/>
        <w:jc w:val="both"/>
        <w:rPr>
          <w:rFonts w:cstheme="minorHAnsi"/>
        </w:rPr>
      </w:pPr>
      <w:r w:rsidRPr="0093113E">
        <w:rPr>
          <w:rFonts w:cstheme="minorHAnsi"/>
        </w:rPr>
        <w:t>adres: Aleje Jerozolimskie 94, 00-807 Warszawa</w:t>
      </w:r>
    </w:p>
    <w:p w14:paraId="495001FC" w14:textId="77777777" w:rsidR="0077667D" w:rsidRPr="0093113E" w:rsidRDefault="0077667D" w:rsidP="00A52BB2">
      <w:pPr>
        <w:spacing w:after="0" w:line="360" w:lineRule="auto"/>
        <w:ind w:left="708"/>
        <w:jc w:val="both"/>
        <w:rPr>
          <w:rFonts w:cstheme="minorHAnsi"/>
        </w:rPr>
      </w:pPr>
      <w:r w:rsidRPr="0093113E">
        <w:rPr>
          <w:rFonts w:cstheme="minorHAnsi"/>
        </w:rPr>
        <w:t>KRS: 0000654184, REGON: 366160540, NIP: 5223080205</w:t>
      </w:r>
    </w:p>
    <w:p w14:paraId="1D68FBE3" w14:textId="77777777" w:rsidR="0077667D" w:rsidRPr="0093113E" w:rsidRDefault="0077667D" w:rsidP="00A52BB2">
      <w:pPr>
        <w:spacing w:after="0" w:line="360" w:lineRule="auto"/>
        <w:ind w:left="708"/>
        <w:jc w:val="both"/>
        <w:rPr>
          <w:rFonts w:cstheme="minorHAnsi"/>
          <w:b/>
          <w:bCs/>
        </w:rPr>
      </w:pPr>
      <w:r w:rsidRPr="0093113E">
        <w:rPr>
          <w:rFonts w:cstheme="minorHAnsi"/>
        </w:rPr>
        <w:t xml:space="preserve">reprezentowana przez </w:t>
      </w:r>
      <w:r w:rsidRPr="0093113E">
        <w:rPr>
          <w:rFonts w:cstheme="minorHAnsi"/>
          <w:b/>
          <w:bCs/>
        </w:rPr>
        <w:t>adwokata Bartosza Groele</w:t>
      </w:r>
    </w:p>
    <w:p w14:paraId="5F93F70C" w14:textId="77777777" w:rsidR="0077667D" w:rsidRPr="0093113E" w:rsidRDefault="0077667D" w:rsidP="00A52BB2">
      <w:pPr>
        <w:spacing w:after="0" w:line="360" w:lineRule="auto"/>
        <w:ind w:left="708"/>
        <w:jc w:val="both"/>
        <w:rPr>
          <w:rFonts w:cstheme="minorHAnsi"/>
        </w:rPr>
      </w:pPr>
      <w:r w:rsidRPr="0093113E">
        <w:rPr>
          <w:rFonts w:cstheme="minorHAnsi"/>
          <w:b/>
          <w:bCs/>
        </w:rPr>
        <w:t>Groele i Wspólnicy spółka komandytowa z siedzibą w Krakowie</w:t>
      </w:r>
    </w:p>
    <w:p w14:paraId="4A79816B" w14:textId="77777777" w:rsidR="0077667D" w:rsidRPr="0093113E" w:rsidRDefault="0077667D" w:rsidP="00A52BB2">
      <w:pPr>
        <w:spacing w:after="0" w:line="360" w:lineRule="auto"/>
        <w:ind w:left="708"/>
        <w:jc w:val="both"/>
        <w:rPr>
          <w:rFonts w:cstheme="minorHAnsi"/>
        </w:rPr>
      </w:pPr>
      <w:r w:rsidRPr="0093113E">
        <w:rPr>
          <w:rFonts w:cstheme="minorHAnsi"/>
        </w:rPr>
        <w:t>ul. Kielecka 2- I piętro, 31- 526 Kraków</w:t>
      </w:r>
    </w:p>
    <w:p w14:paraId="7FBB0FD6" w14:textId="2EA86212" w:rsidR="0077667D" w:rsidRPr="0093113E" w:rsidRDefault="0077667D" w:rsidP="00A52BB2">
      <w:pPr>
        <w:tabs>
          <w:tab w:val="left" w:pos="2552"/>
        </w:tabs>
        <w:spacing w:after="0" w:line="360" w:lineRule="auto"/>
        <w:ind w:left="708"/>
        <w:jc w:val="both"/>
        <w:rPr>
          <w:rStyle w:val="Hipercze"/>
          <w:rFonts w:cstheme="minorHAnsi"/>
        </w:rPr>
      </w:pPr>
      <w:r w:rsidRPr="0093113E">
        <w:rPr>
          <w:rFonts w:cstheme="minorHAnsi"/>
        </w:rPr>
        <w:t xml:space="preserve">tel.: 12 631 07 90, e-mail: </w:t>
      </w:r>
      <w:hyperlink r:id="rId8" w:history="1">
        <w:r w:rsidRPr="0093113E">
          <w:rPr>
            <w:rStyle w:val="Hipercze"/>
            <w:rFonts w:cstheme="minorHAnsi"/>
          </w:rPr>
          <w:t>kancelaria@groele.net.pl</w:t>
        </w:r>
      </w:hyperlink>
    </w:p>
    <w:p w14:paraId="3F3912F9" w14:textId="77777777" w:rsidR="0077667D" w:rsidRPr="0093113E" w:rsidRDefault="0077667D" w:rsidP="00A52BB2">
      <w:pPr>
        <w:tabs>
          <w:tab w:val="left" w:pos="2552"/>
        </w:tabs>
        <w:spacing w:after="0" w:line="360" w:lineRule="auto"/>
        <w:jc w:val="both"/>
        <w:rPr>
          <w:rStyle w:val="Hipercze"/>
          <w:rFonts w:cstheme="minorHAnsi"/>
        </w:rPr>
      </w:pPr>
    </w:p>
    <w:p w14:paraId="6F0B8047" w14:textId="77777777" w:rsidR="0077667D" w:rsidRPr="0093113E" w:rsidRDefault="00BF0202" w:rsidP="00A52BB2">
      <w:pPr>
        <w:tabs>
          <w:tab w:val="left" w:pos="2552"/>
        </w:tabs>
        <w:spacing w:after="0" w:line="360" w:lineRule="auto"/>
        <w:jc w:val="both"/>
        <w:rPr>
          <w:rFonts w:cstheme="minorHAnsi"/>
          <w:b/>
        </w:rPr>
      </w:pPr>
      <w:r w:rsidRPr="0093113E">
        <w:rPr>
          <w:rFonts w:cstheme="minorHAnsi"/>
          <w:b/>
        </w:rPr>
        <w:t>Wierzyciel:</w:t>
      </w:r>
    </w:p>
    <w:p w14:paraId="27451011" w14:textId="77777777" w:rsidR="0077667D" w:rsidRPr="0093113E" w:rsidRDefault="0077667D" w:rsidP="00A52BB2">
      <w:pPr>
        <w:spacing w:after="0" w:line="360" w:lineRule="auto"/>
        <w:ind w:left="708"/>
        <w:jc w:val="both"/>
        <w:rPr>
          <w:rFonts w:cstheme="minorHAnsi"/>
          <w:b/>
          <w:bCs/>
        </w:rPr>
      </w:pPr>
      <w:r w:rsidRPr="0093113E">
        <w:rPr>
          <w:rFonts w:cstheme="minorHAnsi"/>
          <w:b/>
          <w:bCs/>
        </w:rPr>
        <w:t>Iwona Niewęgłowska</w:t>
      </w:r>
    </w:p>
    <w:p w14:paraId="1F8621C9" w14:textId="77777777" w:rsidR="0077667D" w:rsidRPr="0093113E" w:rsidRDefault="0077667D" w:rsidP="00A52BB2">
      <w:pPr>
        <w:spacing w:after="0" w:line="360" w:lineRule="auto"/>
        <w:ind w:left="708"/>
        <w:jc w:val="both"/>
        <w:rPr>
          <w:rFonts w:cstheme="minorHAnsi"/>
          <w:b/>
          <w:bCs/>
        </w:rPr>
      </w:pPr>
      <w:r w:rsidRPr="0093113E">
        <w:rPr>
          <w:rFonts w:cstheme="minorHAnsi"/>
        </w:rPr>
        <w:t xml:space="preserve">reprezentowana przez </w:t>
      </w:r>
      <w:r w:rsidRPr="0093113E">
        <w:rPr>
          <w:rFonts w:cstheme="minorHAnsi"/>
          <w:b/>
          <w:bCs/>
        </w:rPr>
        <w:t xml:space="preserve">radcę prawnego Piotra </w:t>
      </w:r>
      <w:proofErr w:type="spellStart"/>
      <w:r w:rsidRPr="0093113E">
        <w:rPr>
          <w:rFonts w:cstheme="minorHAnsi"/>
          <w:b/>
          <w:bCs/>
        </w:rPr>
        <w:t>Frelaka</w:t>
      </w:r>
      <w:proofErr w:type="spellEnd"/>
    </w:p>
    <w:p w14:paraId="77CAEC0A" w14:textId="77777777" w:rsidR="0077667D" w:rsidRPr="0093113E" w:rsidRDefault="0077667D" w:rsidP="00A52BB2">
      <w:pPr>
        <w:spacing w:after="0" w:line="360" w:lineRule="auto"/>
        <w:ind w:left="708"/>
        <w:jc w:val="both"/>
        <w:rPr>
          <w:rFonts w:cstheme="minorHAnsi"/>
        </w:rPr>
      </w:pPr>
      <w:r w:rsidRPr="0093113E">
        <w:rPr>
          <w:rFonts w:cstheme="minorHAnsi"/>
          <w:b/>
          <w:bCs/>
        </w:rPr>
        <w:t>RKKW – Kwaśnicki, Wróbel &amp; Partnerzy</w:t>
      </w:r>
    </w:p>
    <w:p w14:paraId="3ECE3B89" w14:textId="77777777" w:rsidR="0077667D" w:rsidRPr="0093113E" w:rsidRDefault="0077667D" w:rsidP="00A52BB2">
      <w:pPr>
        <w:spacing w:after="0" w:line="360" w:lineRule="auto"/>
        <w:ind w:left="708"/>
        <w:jc w:val="both"/>
        <w:rPr>
          <w:rFonts w:cstheme="minorHAnsi"/>
        </w:rPr>
      </w:pPr>
      <w:r w:rsidRPr="0093113E">
        <w:rPr>
          <w:rFonts w:cstheme="minorHAnsi"/>
        </w:rPr>
        <w:t>ul. Wilcza 46, IV p., 00-679 Warszawa</w:t>
      </w:r>
    </w:p>
    <w:p w14:paraId="77932E19" w14:textId="08CED303" w:rsidR="00BF0202" w:rsidRPr="0093113E" w:rsidRDefault="0077667D" w:rsidP="00A52BB2">
      <w:pPr>
        <w:tabs>
          <w:tab w:val="left" w:pos="2552"/>
        </w:tabs>
        <w:spacing w:after="0" w:line="360" w:lineRule="auto"/>
        <w:ind w:left="708"/>
        <w:jc w:val="both"/>
        <w:rPr>
          <w:rFonts w:cstheme="minorHAnsi"/>
          <w:b/>
          <w:lang w:val="en-US"/>
        </w:rPr>
      </w:pPr>
      <w:r w:rsidRPr="0093113E">
        <w:rPr>
          <w:rFonts w:cstheme="minorHAnsi"/>
          <w:lang w:val="en-US"/>
        </w:rPr>
        <w:t xml:space="preserve">tel.: 22 541 70 80, e- mail: </w:t>
      </w:r>
      <w:hyperlink r:id="rId9" w:history="1">
        <w:r w:rsidRPr="0093113E">
          <w:rPr>
            <w:rStyle w:val="Hipercze"/>
            <w:rFonts w:cstheme="minorHAnsi"/>
            <w:lang w:val="en-US"/>
          </w:rPr>
          <w:t>piotr.frelak@rkkw.pl</w:t>
        </w:r>
      </w:hyperlink>
      <w:r w:rsidR="00BF0202" w:rsidRPr="0093113E">
        <w:rPr>
          <w:rFonts w:cstheme="minorHAnsi"/>
          <w:b/>
          <w:lang w:val="en-US"/>
        </w:rPr>
        <w:tab/>
      </w:r>
    </w:p>
    <w:p w14:paraId="50D8F3E7" w14:textId="77777777" w:rsidR="0077667D" w:rsidRPr="0093113E" w:rsidRDefault="0077667D" w:rsidP="00A52BB2">
      <w:pPr>
        <w:tabs>
          <w:tab w:val="left" w:pos="2552"/>
        </w:tabs>
        <w:spacing w:after="0" w:line="360" w:lineRule="auto"/>
        <w:jc w:val="both"/>
        <w:rPr>
          <w:rFonts w:cstheme="minorHAnsi"/>
          <w:lang w:val="en-US"/>
        </w:rPr>
      </w:pPr>
    </w:p>
    <w:p w14:paraId="645C75E2" w14:textId="03AD6E15" w:rsidR="00BF0202" w:rsidRPr="0093113E" w:rsidRDefault="00BF0202" w:rsidP="00A52BB2">
      <w:pPr>
        <w:tabs>
          <w:tab w:val="left" w:pos="2552"/>
        </w:tabs>
        <w:spacing w:after="0" w:line="360" w:lineRule="auto"/>
        <w:jc w:val="both"/>
        <w:rPr>
          <w:rFonts w:cstheme="minorHAnsi"/>
        </w:rPr>
      </w:pPr>
      <w:r w:rsidRPr="0093113E">
        <w:rPr>
          <w:rFonts w:cstheme="minorHAnsi"/>
          <w:b/>
        </w:rPr>
        <w:t>Opłata:</w:t>
      </w:r>
      <w:r w:rsidRPr="0093113E">
        <w:rPr>
          <w:rFonts w:cstheme="minorHAnsi"/>
        </w:rPr>
        <w:tab/>
      </w:r>
      <w:bookmarkStart w:id="0" w:name="_Hlk11328298"/>
      <w:r w:rsidR="00A91FBF" w:rsidRPr="0093113E">
        <w:rPr>
          <w:rFonts w:cstheme="minorHAnsi"/>
          <w:bCs/>
        </w:rPr>
        <w:t>10</w:t>
      </w:r>
      <w:r w:rsidRPr="0093113E">
        <w:rPr>
          <w:rFonts w:cstheme="minorHAnsi"/>
          <w:bCs/>
        </w:rPr>
        <w:t>0,00 zł</w:t>
      </w:r>
      <w:r w:rsidRPr="0093113E">
        <w:rPr>
          <w:rFonts w:cstheme="minorHAnsi"/>
          <w:b/>
        </w:rPr>
        <w:t xml:space="preserve"> </w:t>
      </w:r>
      <w:r w:rsidRPr="0093113E">
        <w:rPr>
          <w:rFonts w:cstheme="minorHAnsi"/>
        </w:rPr>
        <w:t xml:space="preserve">(art. 25 ust. 1 </w:t>
      </w:r>
      <w:proofErr w:type="spellStart"/>
      <w:r w:rsidRPr="0093113E">
        <w:rPr>
          <w:rFonts w:cstheme="minorHAnsi"/>
        </w:rPr>
        <w:t>u.k.s.c</w:t>
      </w:r>
      <w:proofErr w:type="spellEnd"/>
      <w:r w:rsidRPr="0093113E">
        <w:rPr>
          <w:rFonts w:cstheme="minorHAnsi"/>
        </w:rPr>
        <w:t>.</w:t>
      </w:r>
      <w:r w:rsidRPr="0093113E">
        <w:rPr>
          <w:rStyle w:val="Odwoanieprzypisudolnego"/>
          <w:rFonts w:cstheme="minorHAnsi"/>
        </w:rPr>
        <w:footnoteReference w:id="1"/>
      </w:r>
      <w:r w:rsidRPr="0093113E">
        <w:rPr>
          <w:rFonts w:cstheme="minorHAnsi"/>
        </w:rPr>
        <w:t>)</w:t>
      </w:r>
      <w:r w:rsidR="00A91FBF" w:rsidRPr="0093113E">
        <w:rPr>
          <w:rFonts w:cstheme="minorHAnsi"/>
        </w:rPr>
        <w:t xml:space="preserve"> – zaskarżenie dwóch czynności komornika</w:t>
      </w:r>
    </w:p>
    <w:p w14:paraId="4A23423B" w14:textId="77777777" w:rsidR="00BF0202" w:rsidRPr="0093113E" w:rsidRDefault="00BF0202" w:rsidP="00A52BB2">
      <w:pPr>
        <w:tabs>
          <w:tab w:val="left" w:pos="2552"/>
        </w:tabs>
        <w:spacing w:after="0" w:line="360" w:lineRule="auto"/>
        <w:jc w:val="both"/>
        <w:rPr>
          <w:rFonts w:cstheme="minorHAnsi"/>
        </w:rPr>
      </w:pPr>
    </w:p>
    <w:p w14:paraId="45B0B730" w14:textId="6868DCC0" w:rsidR="00BF0202" w:rsidRPr="0093113E" w:rsidRDefault="00BF0202" w:rsidP="00A52BB2">
      <w:pPr>
        <w:tabs>
          <w:tab w:val="left" w:pos="2552"/>
        </w:tabs>
        <w:spacing w:after="0" w:line="360" w:lineRule="auto"/>
        <w:jc w:val="both"/>
        <w:rPr>
          <w:rFonts w:cstheme="minorHAnsi"/>
          <w:bCs/>
        </w:rPr>
      </w:pPr>
      <w:r w:rsidRPr="0093113E">
        <w:rPr>
          <w:rFonts w:cstheme="minorHAnsi"/>
          <w:b/>
        </w:rPr>
        <w:t>Sygn. akt</w:t>
      </w:r>
      <w:r w:rsidR="0077667D" w:rsidRPr="0093113E">
        <w:rPr>
          <w:rFonts w:cstheme="minorHAnsi"/>
          <w:b/>
        </w:rPr>
        <w:t>:</w:t>
      </w:r>
      <w:r w:rsidRPr="0093113E">
        <w:rPr>
          <w:rFonts w:cstheme="minorHAnsi"/>
          <w:b/>
        </w:rPr>
        <w:tab/>
      </w:r>
      <w:bookmarkEnd w:id="0"/>
      <w:r w:rsidR="0077667D" w:rsidRPr="0093113E">
        <w:rPr>
          <w:rFonts w:cstheme="minorHAnsi"/>
          <w:bCs/>
        </w:rPr>
        <w:t>Km 410/21</w:t>
      </w:r>
    </w:p>
    <w:p w14:paraId="2770798A" w14:textId="77777777" w:rsidR="00BF0202" w:rsidRPr="0093113E" w:rsidRDefault="00BF0202" w:rsidP="00A52BB2">
      <w:pPr>
        <w:pStyle w:val="tytu"/>
        <w:spacing w:before="0" w:line="360" w:lineRule="auto"/>
        <w:ind w:left="2410"/>
        <w:jc w:val="both"/>
        <w:rPr>
          <w:rFonts w:asciiTheme="minorHAnsi" w:hAnsiTheme="minorHAnsi" w:cstheme="minorHAnsi"/>
        </w:rPr>
      </w:pPr>
    </w:p>
    <w:p w14:paraId="1014E642" w14:textId="482BF459" w:rsidR="00E932A8" w:rsidRDefault="00BF0202" w:rsidP="00E932A8">
      <w:pPr>
        <w:pStyle w:val="tytu"/>
        <w:spacing w:before="0" w:line="360" w:lineRule="auto"/>
        <w:ind w:left="2410"/>
        <w:jc w:val="both"/>
        <w:rPr>
          <w:rFonts w:asciiTheme="minorHAnsi" w:hAnsiTheme="minorHAnsi" w:cstheme="minorHAnsi"/>
        </w:rPr>
      </w:pPr>
      <w:r w:rsidRPr="0093113E">
        <w:rPr>
          <w:rFonts w:asciiTheme="minorHAnsi" w:hAnsiTheme="minorHAnsi" w:cstheme="minorHAnsi"/>
        </w:rPr>
        <w:t>SKARGA NA CZYNNOŚ</w:t>
      </w:r>
      <w:r w:rsidR="00A91FBF" w:rsidRPr="0093113E">
        <w:rPr>
          <w:rFonts w:asciiTheme="minorHAnsi" w:hAnsiTheme="minorHAnsi" w:cstheme="minorHAnsi"/>
        </w:rPr>
        <w:t>CI</w:t>
      </w:r>
      <w:r w:rsidRPr="0093113E">
        <w:rPr>
          <w:rFonts w:asciiTheme="minorHAnsi" w:hAnsiTheme="minorHAnsi" w:cstheme="minorHAnsi"/>
        </w:rPr>
        <w:t xml:space="preserve"> KOMORNIKA</w:t>
      </w:r>
    </w:p>
    <w:p w14:paraId="2A14F5C3" w14:textId="77777777" w:rsidR="0093113E" w:rsidRPr="0093113E" w:rsidRDefault="0093113E" w:rsidP="0093113E">
      <w:pPr>
        <w:pStyle w:val="tytu"/>
        <w:spacing w:before="0" w:line="360" w:lineRule="auto"/>
        <w:ind w:left="2410"/>
        <w:jc w:val="both"/>
        <w:rPr>
          <w:rFonts w:asciiTheme="minorHAnsi" w:hAnsiTheme="minorHAnsi" w:cstheme="minorHAnsi"/>
        </w:rPr>
      </w:pPr>
    </w:p>
    <w:p w14:paraId="7848E51C" w14:textId="77777777" w:rsidR="00DB32FC" w:rsidRPr="0093113E" w:rsidRDefault="00BF0202" w:rsidP="00A52BB2">
      <w:pPr>
        <w:spacing w:after="0" w:line="360" w:lineRule="auto"/>
        <w:jc w:val="both"/>
        <w:rPr>
          <w:rFonts w:cstheme="minorHAnsi"/>
        </w:rPr>
      </w:pPr>
      <w:r w:rsidRPr="0093113E">
        <w:rPr>
          <w:rFonts w:cstheme="minorHAnsi"/>
        </w:rPr>
        <w:t>Działając w imieniu Dłużnika, na podstawie pełnomocnictwa, stanowiącego załącznik do niniejszego pisma</w:t>
      </w:r>
      <w:r w:rsidR="00046698" w:rsidRPr="0093113E">
        <w:rPr>
          <w:rFonts w:cstheme="minorHAnsi"/>
        </w:rPr>
        <w:t>, niniejszym wnoszę skargę na czynnoś</w:t>
      </w:r>
      <w:r w:rsidR="00DB32FC" w:rsidRPr="0093113E">
        <w:rPr>
          <w:rFonts w:cstheme="minorHAnsi"/>
        </w:rPr>
        <w:t>ci</w:t>
      </w:r>
      <w:r w:rsidR="00046698" w:rsidRPr="0093113E">
        <w:rPr>
          <w:rFonts w:cstheme="minorHAnsi"/>
        </w:rPr>
        <w:t xml:space="preserve"> Komornika Sądowego przy Sądzie Rejonowym dla Warszawy-Mokotowa w Warszawie Karola Gołębiewskiego (Kancelaria Komornicza nr VI w Warszawie przy ul. J.P. Woronicza 31/73, 02-640 Warszawa) („</w:t>
      </w:r>
      <w:r w:rsidR="00046698" w:rsidRPr="0093113E">
        <w:rPr>
          <w:rFonts w:cstheme="minorHAnsi"/>
          <w:b/>
          <w:bCs/>
        </w:rPr>
        <w:t>Komornik Sądowy</w:t>
      </w:r>
      <w:r w:rsidR="00046698" w:rsidRPr="0093113E">
        <w:rPr>
          <w:rFonts w:cstheme="minorHAnsi"/>
        </w:rPr>
        <w:t>”) polegając</w:t>
      </w:r>
      <w:r w:rsidR="00DB32FC" w:rsidRPr="0093113E">
        <w:rPr>
          <w:rFonts w:cstheme="minorHAnsi"/>
        </w:rPr>
        <w:t>e na:</w:t>
      </w:r>
    </w:p>
    <w:p w14:paraId="177B5502" w14:textId="68F3BEF7" w:rsidR="00DB32FC" w:rsidRPr="0093113E" w:rsidRDefault="00DB32FC" w:rsidP="00A52BB2">
      <w:pPr>
        <w:pStyle w:val="Akapitzlist"/>
        <w:numPr>
          <w:ilvl w:val="0"/>
          <w:numId w:val="11"/>
        </w:numPr>
        <w:spacing w:after="0" w:line="360" w:lineRule="auto"/>
        <w:jc w:val="both"/>
        <w:rPr>
          <w:rFonts w:asciiTheme="minorHAnsi" w:hAnsiTheme="minorHAnsi" w:cstheme="minorHAnsi"/>
        </w:rPr>
      </w:pPr>
      <w:r w:rsidRPr="0093113E">
        <w:rPr>
          <w:rFonts w:asciiTheme="minorHAnsi" w:hAnsiTheme="minorHAnsi" w:cstheme="minorHAnsi"/>
          <w:b/>
          <w:bCs/>
        </w:rPr>
        <w:t>podjęciu</w:t>
      </w:r>
      <w:r w:rsidRPr="0093113E">
        <w:rPr>
          <w:rFonts w:asciiTheme="minorHAnsi" w:hAnsiTheme="minorHAnsi" w:cstheme="minorHAnsi"/>
        </w:rPr>
        <w:t xml:space="preserve"> </w:t>
      </w:r>
      <w:r w:rsidRPr="0093113E">
        <w:rPr>
          <w:rFonts w:asciiTheme="minorHAnsi" w:hAnsiTheme="minorHAnsi" w:cstheme="minorHAnsi"/>
          <w:b/>
          <w:bCs/>
        </w:rPr>
        <w:t>zawieszonego</w:t>
      </w:r>
      <w:r w:rsidRPr="0093113E">
        <w:rPr>
          <w:rFonts w:asciiTheme="minorHAnsi" w:hAnsiTheme="minorHAnsi" w:cstheme="minorHAnsi"/>
        </w:rPr>
        <w:t xml:space="preserve"> </w:t>
      </w:r>
      <w:r w:rsidRPr="0093113E">
        <w:rPr>
          <w:rFonts w:asciiTheme="minorHAnsi" w:hAnsiTheme="minorHAnsi" w:cstheme="minorHAnsi"/>
          <w:b/>
          <w:bCs/>
        </w:rPr>
        <w:t>postępowania egzekucyjnego</w:t>
      </w:r>
      <w:r w:rsidRPr="0093113E">
        <w:rPr>
          <w:rFonts w:asciiTheme="minorHAnsi" w:hAnsiTheme="minorHAnsi" w:cstheme="minorHAnsi"/>
        </w:rPr>
        <w:t xml:space="preserve"> prowadzonego z wniosku Iwony Niewęgłowskiej, na podstawie tytułu wykonawczego – akt notarialnego z 9 listopada 2018 r., Rep. A 10336/2018, zaopatrzonego w klauzulę wykonalności z 17 lutego 2021 r. (sygn. akt: Km 410/21)</w:t>
      </w:r>
      <w:r w:rsidR="00A52BB2" w:rsidRPr="0093113E">
        <w:rPr>
          <w:rFonts w:asciiTheme="minorHAnsi" w:hAnsiTheme="minorHAnsi" w:cstheme="minorHAnsi"/>
        </w:rPr>
        <w:t xml:space="preserve"> („</w:t>
      </w:r>
      <w:r w:rsidR="00A52BB2" w:rsidRPr="0093113E">
        <w:rPr>
          <w:rFonts w:asciiTheme="minorHAnsi" w:hAnsiTheme="minorHAnsi" w:cstheme="minorHAnsi"/>
          <w:b/>
          <w:bCs/>
        </w:rPr>
        <w:t>Postępowanie egzekucyjne</w:t>
      </w:r>
      <w:r w:rsidR="00A52BB2" w:rsidRPr="0093113E">
        <w:rPr>
          <w:rFonts w:asciiTheme="minorHAnsi" w:hAnsiTheme="minorHAnsi" w:cstheme="minorHAnsi"/>
        </w:rPr>
        <w:t>”)</w:t>
      </w:r>
      <w:r w:rsidRPr="0093113E">
        <w:rPr>
          <w:rFonts w:asciiTheme="minorHAnsi" w:hAnsiTheme="minorHAnsi" w:cstheme="minorHAnsi"/>
        </w:rPr>
        <w:t>, mimo, że postępowanie to jest zawieszone z mocy prawa i nie zaistniała żadna nowa okoliczność, która miałaby wpływ na zmianę stanu prawnego postępowania oraz</w:t>
      </w:r>
    </w:p>
    <w:p w14:paraId="6AA874EF" w14:textId="6E1CDB92" w:rsidR="00DB32FC" w:rsidRPr="0093113E" w:rsidRDefault="00046698" w:rsidP="00A52BB2">
      <w:pPr>
        <w:pStyle w:val="Akapitzlist"/>
        <w:numPr>
          <w:ilvl w:val="0"/>
          <w:numId w:val="11"/>
        </w:numPr>
        <w:spacing w:after="0" w:line="360" w:lineRule="auto"/>
        <w:jc w:val="both"/>
        <w:rPr>
          <w:rFonts w:asciiTheme="minorHAnsi" w:hAnsiTheme="minorHAnsi" w:cstheme="minorHAnsi"/>
        </w:rPr>
      </w:pPr>
      <w:r w:rsidRPr="0093113E">
        <w:rPr>
          <w:rFonts w:asciiTheme="minorHAnsi" w:hAnsiTheme="minorHAnsi" w:cstheme="minorHAnsi"/>
          <w:b/>
          <w:bCs/>
        </w:rPr>
        <w:t>obwieszczeni</w:t>
      </w:r>
      <w:r w:rsidR="00DB32FC" w:rsidRPr="0093113E">
        <w:rPr>
          <w:rFonts w:asciiTheme="minorHAnsi" w:hAnsiTheme="minorHAnsi" w:cstheme="minorHAnsi"/>
          <w:b/>
          <w:bCs/>
        </w:rPr>
        <w:t>u</w:t>
      </w:r>
      <w:r w:rsidRPr="0093113E">
        <w:rPr>
          <w:rFonts w:asciiTheme="minorHAnsi" w:hAnsiTheme="minorHAnsi" w:cstheme="minorHAnsi"/>
          <w:b/>
          <w:bCs/>
        </w:rPr>
        <w:t xml:space="preserve"> o </w:t>
      </w:r>
      <w:r w:rsidR="003D7A8C" w:rsidRPr="0093113E">
        <w:rPr>
          <w:rFonts w:asciiTheme="minorHAnsi" w:hAnsiTheme="minorHAnsi" w:cstheme="minorHAnsi"/>
          <w:b/>
          <w:bCs/>
        </w:rPr>
        <w:t>pierwszej licytacji nieruchomości gruntowej niezabudowanej położonej w Warszawie przy ul. Postępu 1</w:t>
      </w:r>
      <w:r w:rsidR="00E932A8">
        <w:rPr>
          <w:rFonts w:asciiTheme="minorHAnsi" w:hAnsiTheme="minorHAnsi" w:cstheme="minorHAnsi"/>
          <w:b/>
          <w:bCs/>
        </w:rPr>
        <w:t>B</w:t>
      </w:r>
      <w:r w:rsidR="003D7A8C" w:rsidRPr="0093113E">
        <w:rPr>
          <w:rFonts w:asciiTheme="minorHAnsi" w:hAnsiTheme="minorHAnsi" w:cstheme="minorHAnsi"/>
        </w:rPr>
        <w:t xml:space="preserve"> (poprzednio ul. Postępu 3) oznaczonej jako działka ewidencyjna 14/</w:t>
      </w:r>
      <w:r w:rsidR="00E932A8">
        <w:rPr>
          <w:rFonts w:asciiTheme="minorHAnsi" w:hAnsiTheme="minorHAnsi" w:cstheme="minorHAnsi"/>
        </w:rPr>
        <w:t>1</w:t>
      </w:r>
      <w:r w:rsidR="003D7A8C" w:rsidRPr="0093113E">
        <w:rPr>
          <w:rFonts w:asciiTheme="minorHAnsi" w:hAnsiTheme="minorHAnsi" w:cstheme="minorHAnsi"/>
        </w:rPr>
        <w:t xml:space="preserve"> w obrębie 1-08-12 Dzielnicy Mokotów m. st. Warszawy, o obszarze 0,</w:t>
      </w:r>
      <w:r w:rsidR="00E932A8">
        <w:rPr>
          <w:rFonts w:asciiTheme="minorHAnsi" w:hAnsiTheme="minorHAnsi" w:cstheme="minorHAnsi"/>
        </w:rPr>
        <w:t>4954</w:t>
      </w:r>
      <w:r w:rsidR="003D7A8C" w:rsidRPr="0093113E">
        <w:rPr>
          <w:rFonts w:asciiTheme="minorHAnsi" w:hAnsiTheme="minorHAnsi" w:cstheme="minorHAnsi"/>
        </w:rPr>
        <w:t xml:space="preserve"> ha dla której Sąd Rejonowy dla Warszawy-Mokotowa w Warszawie VII Wydział Ksiąg Wieczystych adres: Al. Solidarności 58, 00-240 Warszawa prowadzi księgę wieczystą o numerze </w:t>
      </w:r>
      <w:r w:rsidR="003D7A8C" w:rsidRPr="00E932A8">
        <w:rPr>
          <w:rFonts w:asciiTheme="minorHAnsi" w:hAnsiTheme="minorHAnsi" w:cstheme="minorHAnsi"/>
          <w:b/>
          <w:bCs/>
        </w:rPr>
        <w:t>NKW WA2M/</w:t>
      </w:r>
      <w:r w:rsidR="00E932A8" w:rsidRPr="00E932A8">
        <w:rPr>
          <w:rFonts w:asciiTheme="minorHAnsi" w:hAnsiTheme="minorHAnsi" w:cstheme="minorHAnsi"/>
          <w:b/>
          <w:bCs/>
        </w:rPr>
        <w:t>00143488/9</w:t>
      </w:r>
      <w:r w:rsidRPr="0093113E">
        <w:rPr>
          <w:rFonts w:asciiTheme="minorHAnsi" w:hAnsiTheme="minorHAnsi" w:cstheme="minorHAnsi"/>
        </w:rPr>
        <w:t>,</w:t>
      </w:r>
      <w:r w:rsidR="003D7A8C" w:rsidRPr="0093113E">
        <w:rPr>
          <w:rFonts w:asciiTheme="minorHAnsi" w:hAnsiTheme="minorHAnsi" w:cstheme="minorHAnsi"/>
        </w:rPr>
        <w:t xml:space="preserve"> </w:t>
      </w:r>
      <w:r w:rsidRPr="0093113E">
        <w:rPr>
          <w:rFonts w:asciiTheme="minorHAnsi" w:hAnsiTheme="minorHAnsi" w:cstheme="minorHAnsi"/>
        </w:rPr>
        <w:t xml:space="preserve">która ma się rozpocząć </w:t>
      </w:r>
      <w:r w:rsidR="00E932A8" w:rsidRPr="00E932A8">
        <w:rPr>
          <w:rFonts w:asciiTheme="minorHAnsi" w:hAnsiTheme="minorHAnsi" w:cstheme="minorHAnsi"/>
          <w:b/>
          <w:bCs/>
        </w:rPr>
        <w:t>28</w:t>
      </w:r>
      <w:r w:rsidRPr="00E932A8">
        <w:rPr>
          <w:rFonts w:asciiTheme="minorHAnsi" w:hAnsiTheme="minorHAnsi" w:cstheme="minorHAnsi"/>
          <w:b/>
          <w:bCs/>
        </w:rPr>
        <w:t xml:space="preserve"> kwietnia 2023 r.</w:t>
      </w:r>
      <w:r w:rsidRPr="0093113E">
        <w:rPr>
          <w:rFonts w:asciiTheme="minorHAnsi" w:hAnsiTheme="minorHAnsi" w:cstheme="minorHAnsi"/>
        </w:rPr>
        <w:t xml:space="preserve"> („</w:t>
      </w:r>
      <w:r w:rsidRPr="0093113E">
        <w:rPr>
          <w:rFonts w:asciiTheme="minorHAnsi" w:hAnsiTheme="minorHAnsi" w:cstheme="minorHAnsi"/>
          <w:b/>
          <w:bCs/>
        </w:rPr>
        <w:t>Obwieszczenie</w:t>
      </w:r>
      <w:r w:rsidRPr="0093113E">
        <w:rPr>
          <w:rFonts w:asciiTheme="minorHAnsi" w:hAnsiTheme="minorHAnsi" w:cstheme="minorHAnsi"/>
        </w:rPr>
        <w:t>”)</w:t>
      </w:r>
      <w:r w:rsidR="007D70A9" w:rsidRPr="0093113E">
        <w:rPr>
          <w:rFonts w:asciiTheme="minorHAnsi" w:hAnsiTheme="minorHAnsi" w:cstheme="minorHAnsi"/>
        </w:rPr>
        <w:t>, w sytuacji, gdy prowadzone postępowanie egzekucyjne jest zawieszone z mocy prawa</w:t>
      </w:r>
      <w:r w:rsidR="00DB32FC" w:rsidRPr="0093113E">
        <w:rPr>
          <w:rFonts w:asciiTheme="minorHAnsi" w:hAnsiTheme="minorHAnsi" w:cstheme="minorHAnsi"/>
        </w:rPr>
        <w:t>.</w:t>
      </w:r>
    </w:p>
    <w:p w14:paraId="01B6B291" w14:textId="77777777" w:rsidR="00A52BB2" w:rsidRPr="0093113E" w:rsidRDefault="00A52BB2" w:rsidP="00A52BB2">
      <w:pPr>
        <w:spacing w:after="0" w:line="360" w:lineRule="auto"/>
        <w:jc w:val="both"/>
        <w:rPr>
          <w:rFonts w:cstheme="minorHAnsi"/>
        </w:rPr>
      </w:pPr>
    </w:p>
    <w:p w14:paraId="779A1BB7" w14:textId="6C2BC967" w:rsidR="00A52BB2" w:rsidRPr="0093113E" w:rsidRDefault="00A52BB2" w:rsidP="00A52BB2">
      <w:pPr>
        <w:spacing w:after="0" w:line="360" w:lineRule="auto"/>
        <w:jc w:val="both"/>
        <w:rPr>
          <w:rFonts w:cstheme="minorHAnsi"/>
        </w:rPr>
      </w:pPr>
      <w:r w:rsidRPr="0093113E">
        <w:rPr>
          <w:rFonts w:cstheme="minorHAnsi"/>
        </w:rPr>
        <w:t xml:space="preserve">Dłużnik powziął informację o dokonaniu czynności przez </w:t>
      </w:r>
      <w:r w:rsidR="0093113E">
        <w:rPr>
          <w:rFonts w:cstheme="minorHAnsi"/>
        </w:rPr>
        <w:t>K</w:t>
      </w:r>
      <w:r w:rsidRPr="0093113E">
        <w:rPr>
          <w:rFonts w:cstheme="minorHAnsi"/>
        </w:rPr>
        <w:t xml:space="preserve">omornika </w:t>
      </w:r>
      <w:r w:rsidR="0093113E">
        <w:rPr>
          <w:rFonts w:cstheme="minorHAnsi"/>
        </w:rPr>
        <w:t xml:space="preserve">Sądowego </w:t>
      </w:r>
      <w:r w:rsidR="00E932A8">
        <w:rPr>
          <w:rFonts w:cstheme="minorHAnsi"/>
        </w:rPr>
        <w:t>10</w:t>
      </w:r>
      <w:r w:rsidRPr="0093113E">
        <w:rPr>
          <w:rFonts w:cstheme="minorHAnsi"/>
        </w:rPr>
        <w:t xml:space="preserve"> marca 2023 r. wskutek doręczenia Dłużnikowi Obwieszczenia</w:t>
      </w:r>
      <w:r w:rsidR="00046698" w:rsidRPr="0093113E">
        <w:rPr>
          <w:rFonts w:cstheme="minorHAnsi"/>
        </w:rPr>
        <w:t xml:space="preserve">. </w:t>
      </w:r>
    </w:p>
    <w:p w14:paraId="4B7BFDF1" w14:textId="77777777" w:rsidR="00A52BB2" w:rsidRPr="0093113E" w:rsidRDefault="00A52BB2" w:rsidP="00A52BB2">
      <w:pPr>
        <w:spacing w:after="0" w:line="360" w:lineRule="auto"/>
        <w:jc w:val="both"/>
        <w:rPr>
          <w:rFonts w:cstheme="minorHAnsi"/>
        </w:rPr>
      </w:pPr>
    </w:p>
    <w:p w14:paraId="06953F9F" w14:textId="77777777" w:rsidR="0093113E" w:rsidRDefault="007D70A9" w:rsidP="0093113E">
      <w:pPr>
        <w:spacing w:after="0" w:line="360" w:lineRule="auto"/>
        <w:jc w:val="both"/>
        <w:rPr>
          <w:rFonts w:cstheme="minorHAnsi"/>
        </w:rPr>
      </w:pPr>
      <w:r w:rsidRPr="0093113E">
        <w:rPr>
          <w:rFonts w:cstheme="minorHAnsi"/>
        </w:rPr>
        <w:t xml:space="preserve">Mając na uwadze powyższe </w:t>
      </w:r>
      <w:r w:rsidRPr="0093113E">
        <w:rPr>
          <w:rFonts w:cstheme="minorHAnsi"/>
          <w:b/>
          <w:bCs/>
        </w:rPr>
        <w:t>w</w:t>
      </w:r>
      <w:r w:rsidR="00BF0202" w:rsidRPr="0093113E">
        <w:rPr>
          <w:rFonts w:cstheme="minorHAnsi"/>
          <w:b/>
          <w:bCs/>
        </w:rPr>
        <w:t>noszę o</w:t>
      </w:r>
      <w:r w:rsidR="00BF0202" w:rsidRPr="0093113E">
        <w:rPr>
          <w:rFonts w:cstheme="minorHAnsi"/>
        </w:rPr>
        <w:t>:</w:t>
      </w:r>
      <w:r w:rsidR="0093113E" w:rsidRPr="0093113E">
        <w:rPr>
          <w:rFonts w:cstheme="minorHAnsi"/>
        </w:rPr>
        <w:tab/>
      </w:r>
    </w:p>
    <w:p w14:paraId="18938666" w14:textId="20F1792C" w:rsidR="00454FBD" w:rsidRPr="0093113E" w:rsidRDefault="00A52BB2" w:rsidP="0093113E">
      <w:pPr>
        <w:pStyle w:val="Akapitzlist"/>
        <w:numPr>
          <w:ilvl w:val="0"/>
          <w:numId w:val="1"/>
        </w:numPr>
        <w:spacing w:after="0" w:line="360" w:lineRule="auto"/>
        <w:jc w:val="both"/>
        <w:rPr>
          <w:rFonts w:cstheme="minorHAnsi"/>
        </w:rPr>
      </w:pPr>
      <w:r w:rsidRPr="0093113E">
        <w:rPr>
          <w:rFonts w:cstheme="minorHAnsi"/>
          <w:b/>
          <w:bCs/>
        </w:rPr>
        <w:t xml:space="preserve">a) uchylenie zaskarżonej czynności Komornika Sądowego polegającej na podjęciu zawieszonego Postępowania Egzekucyjnego </w:t>
      </w:r>
      <w:r w:rsidRPr="0093113E">
        <w:rPr>
          <w:rFonts w:cstheme="minorHAnsi"/>
        </w:rPr>
        <w:t>ewentualnie</w:t>
      </w:r>
      <w:r w:rsidRPr="0093113E">
        <w:rPr>
          <w:rFonts w:cstheme="minorHAnsi"/>
          <w:b/>
          <w:bCs/>
        </w:rPr>
        <w:t xml:space="preserve"> b) o zmianę</w:t>
      </w:r>
      <w:r w:rsidR="00454FBD" w:rsidRPr="0093113E">
        <w:rPr>
          <w:rFonts w:cstheme="minorHAnsi"/>
          <w:b/>
          <w:bCs/>
        </w:rPr>
        <w:t xml:space="preserve"> zaskarżonej czynności Komornika </w:t>
      </w:r>
      <w:r w:rsidRPr="0093113E">
        <w:rPr>
          <w:rFonts w:cstheme="minorHAnsi"/>
          <w:b/>
          <w:bCs/>
        </w:rPr>
        <w:t>polegającej na podjęciu zawieszonego Postępowania Egzekucyjnego poprzez zawieszenie Postępowania Egzekucyjnego</w:t>
      </w:r>
      <w:r w:rsidR="00454FBD" w:rsidRPr="0093113E">
        <w:rPr>
          <w:rFonts w:cstheme="minorHAnsi"/>
        </w:rPr>
        <w:t xml:space="preserve"> oraz</w:t>
      </w:r>
    </w:p>
    <w:p w14:paraId="168ABD40" w14:textId="1DC269E5" w:rsidR="007D70A9" w:rsidRPr="0093113E" w:rsidRDefault="00BF0202" w:rsidP="00A52BB2">
      <w:pPr>
        <w:pStyle w:val="Akapitzlist"/>
        <w:keepNext/>
        <w:keepLines/>
        <w:numPr>
          <w:ilvl w:val="0"/>
          <w:numId w:val="1"/>
        </w:numPr>
        <w:spacing w:after="0" w:line="360" w:lineRule="auto"/>
        <w:jc w:val="both"/>
        <w:rPr>
          <w:rFonts w:asciiTheme="minorHAnsi" w:hAnsiTheme="minorHAnsi" w:cstheme="minorHAnsi"/>
        </w:rPr>
      </w:pPr>
      <w:r w:rsidRPr="0093113E">
        <w:rPr>
          <w:rFonts w:asciiTheme="minorHAnsi" w:hAnsiTheme="minorHAnsi" w:cstheme="minorHAnsi"/>
          <w:b/>
          <w:bCs/>
        </w:rPr>
        <w:lastRenderedPageBreak/>
        <w:t xml:space="preserve">uchylenie zaskarżonej </w:t>
      </w:r>
      <w:r w:rsidR="00BF26C5" w:rsidRPr="0093113E">
        <w:rPr>
          <w:rFonts w:asciiTheme="minorHAnsi" w:hAnsiTheme="minorHAnsi" w:cstheme="minorHAnsi"/>
          <w:b/>
          <w:bCs/>
        </w:rPr>
        <w:t>c</w:t>
      </w:r>
      <w:r w:rsidR="007D70A9" w:rsidRPr="0093113E">
        <w:rPr>
          <w:rFonts w:asciiTheme="minorHAnsi" w:hAnsiTheme="minorHAnsi" w:cstheme="minorHAnsi"/>
          <w:b/>
          <w:bCs/>
        </w:rPr>
        <w:t>zynności Komornika Sądowego</w:t>
      </w:r>
      <w:r w:rsidR="00BF26C5" w:rsidRPr="0093113E">
        <w:rPr>
          <w:rFonts w:asciiTheme="minorHAnsi" w:hAnsiTheme="minorHAnsi" w:cstheme="minorHAnsi"/>
          <w:b/>
          <w:bCs/>
        </w:rPr>
        <w:t xml:space="preserve"> polegającej na dokonaniu obwieszczenia</w:t>
      </w:r>
      <w:r w:rsidR="00BF26C5" w:rsidRPr="0093113E">
        <w:rPr>
          <w:rFonts w:asciiTheme="minorHAnsi" w:hAnsiTheme="minorHAnsi" w:cstheme="minorHAnsi"/>
        </w:rPr>
        <w:t xml:space="preserve"> o pierwszej licytacji nieruchomości gruntowej niezabudowanej położonej w Warszawie przy ul. Postępu 1</w:t>
      </w:r>
      <w:r w:rsidR="00E932A8">
        <w:rPr>
          <w:rFonts w:asciiTheme="minorHAnsi" w:hAnsiTheme="minorHAnsi" w:cstheme="minorHAnsi"/>
        </w:rPr>
        <w:t>B</w:t>
      </w:r>
      <w:r w:rsidR="00BF26C5" w:rsidRPr="0093113E">
        <w:rPr>
          <w:rFonts w:asciiTheme="minorHAnsi" w:hAnsiTheme="minorHAnsi" w:cstheme="minorHAnsi"/>
        </w:rPr>
        <w:t xml:space="preserve"> (poprzednio ul. Postępu 3) oznaczonej jako działka ewidencyjna 14/</w:t>
      </w:r>
      <w:r w:rsidR="00E932A8">
        <w:rPr>
          <w:rFonts w:asciiTheme="minorHAnsi" w:hAnsiTheme="minorHAnsi" w:cstheme="minorHAnsi"/>
        </w:rPr>
        <w:t>1</w:t>
      </w:r>
      <w:r w:rsidR="00BF26C5" w:rsidRPr="0093113E">
        <w:rPr>
          <w:rFonts w:asciiTheme="minorHAnsi" w:hAnsiTheme="minorHAnsi" w:cstheme="minorHAnsi"/>
        </w:rPr>
        <w:t xml:space="preserve"> w obrębie 1-08-12 Dzielnicy Mokotów m. st. Warszawy, o obszarze 0,</w:t>
      </w:r>
      <w:r w:rsidR="00E932A8">
        <w:rPr>
          <w:rFonts w:asciiTheme="minorHAnsi" w:hAnsiTheme="minorHAnsi" w:cstheme="minorHAnsi"/>
        </w:rPr>
        <w:t>4954</w:t>
      </w:r>
      <w:r w:rsidR="00BF26C5" w:rsidRPr="0093113E">
        <w:rPr>
          <w:rFonts w:asciiTheme="minorHAnsi" w:hAnsiTheme="minorHAnsi" w:cstheme="minorHAnsi"/>
        </w:rPr>
        <w:t xml:space="preserve"> ha dla której Sąd Rejonowy dla Warszawy-Mokotowa w Warszawie VII Wydział Ksiąg Wieczystych adres: Al. Solidarności 58, 00-240 Warszawa prowadzi księgę wieczystą o numerze NKW WA2M/</w:t>
      </w:r>
      <w:r w:rsidR="00E932A8">
        <w:rPr>
          <w:rFonts w:asciiTheme="minorHAnsi" w:hAnsiTheme="minorHAnsi" w:cstheme="minorHAnsi"/>
        </w:rPr>
        <w:t>00143488/9</w:t>
      </w:r>
      <w:r w:rsidR="00BF26C5" w:rsidRPr="0093113E">
        <w:rPr>
          <w:rFonts w:asciiTheme="minorHAnsi" w:hAnsiTheme="minorHAnsi" w:cstheme="minorHAnsi"/>
        </w:rPr>
        <w:t xml:space="preserve">, która ma się rozpocząć </w:t>
      </w:r>
      <w:r w:rsidR="00E932A8">
        <w:rPr>
          <w:rFonts w:asciiTheme="minorHAnsi" w:hAnsiTheme="minorHAnsi" w:cstheme="minorHAnsi"/>
        </w:rPr>
        <w:t>28</w:t>
      </w:r>
      <w:r w:rsidR="00BF26C5" w:rsidRPr="0093113E">
        <w:rPr>
          <w:rFonts w:asciiTheme="minorHAnsi" w:hAnsiTheme="minorHAnsi" w:cstheme="minorHAnsi"/>
        </w:rPr>
        <w:t xml:space="preserve"> kwietnia 2023 r.</w:t>
      </w:r>
      <w:r w:rsidRPr="0093113E">
        <w:rPr>
          <w:rFonts w:asciiTheme="minorHAnsi" w:hAnsiTheme="minorHAnsi" w:cstheme="minorHAnsi"/>
        </w:rPr>
        <w:t>;</w:t>
      </w:r>
    </w:p>
    <w:p w14:paraId="79B2454D" w14:textId="6EDE4AF3" w:rsidR="00BF0202" w:rsidRPr="0093113E" w:rsidRDefault="00BF0202" w:rsidP="00A52BB2">
      <w:pPr>
        <w:pStyle w:val="Akapitzlist"/>
        <w:numPr>
          <w:ilvl w:val="0"/>
          <w:numId w:val="1"/>
        </w:numPr>
        <w:spacing w:after="0" w:line="360" w:lineRule="auto"/>
        <w:jc w:val="both"/>
        <w:rPr>
          <w:rFonts w:asciiTheme="minorHAnsi" w:hAnsiTheme="minorHAnsi" w:cstheme="minorHAnsi"/>
        </w:rPr>
      </w:pPr>
      <w:r w:rsidRPr="0093113E">
        <w:rPr>
          <w:rFonts w:asciiTheme="minorHAnsi" w:hAnsiTheme="minorHAnsi" w:cstheme="minorHAnsi"/>
        </w:rPr>
        <w:t>zasądzenie od Komornika na rzecz Dłużnika kosztów postępowania wywołanego wniesieniem skargi według norm przepisanych.</w:t>
      </w:r>
    </w:p>
    <w:p w14:paraId="60EE2C8F" w14:textId="7901F170" w:rsidR="007D70A9" w:rsidRPr="0093113E" w:rsidRDefault="007D70A9" w:rsidP="00A52BB2">
      <w:pPr>
        <w:spacing w:after="0" w:line="360" w:lineRule="auto"/>
        <w:jc w:val="both"/>
        <w:rPr>
          <w:rFonts w:cstheme="minorHAnsi"/>
        </w:rPr>
      </w:pPr>
    </w:p>
    <w:p w14:paraId="08498DAD" w14:textId="4D586D03" w:rsidR="006639A5" w:rsidRPr="0093113E" w:rsidRDefault="007D70A9" w:rsidP="0093113E">
      <w:pPr>
        <w:spacing w:after="0" w:line="360" w:lineRule="auto"/>
        <w:jc w:val="both"/>
        <w:rPr>
          <w:rFonts w:cstheme="minorHAnsi"/>
        </w:rPr>
      </w:pPr>
      <w:r w:rsidRPr="0093113E">
        <w:rPr>
          <w:rFonts w:cstheme="minorHAnsi"/>
        </w:rPr>
        <w:t xml:space="preserve">Zaskarżonej Czynności Komornika Sądowego </w:t>
      </w:r>
      <w:r w:rsidRPr="0093113E">
        <w:rPr>
          <w:rFonts w:cstheme="minorHAnsi"/>
          <w:b/>
          <w:bCs/>
        </w:rPr>
        <w:t>zarzucam naruszenie</w:t>
      </w:r>
      <w:r w:rsidR="00937C6F" w:rsidRPr="0093113E">
        <w:rPr>
          <w:rFonts w:cstheme="minorHAnsi"/>
        </w:rPr>
        <w:t xml:space="preserve"> </w:t>
      </w:r>
      <w:r w:rsidR="006639A5" w:rsidRPr="0093113E">
        <w:rPr>
          <w:rFonts w:cstheme="minorHAnsi"/>
        </w:rPr>
        <w:t xml:space="preserve">art. 226d </w:t>
      </w:r>
      <w:proofErr w:type="spellStart"/>
      <w:r w:rsidR="006639A5" w:rsidRPr="0093113E">
        <w:rPr>
          <w:rFonts w:cstheme="minorHAnsi"/>
        </w:rPr>
        <w:t>p.r.</w:t>
      </w:r>
      <w:proofErr w:type="spellEnd"/>
      <w:r w:rsidR="006639A5" w:rsidRPr="0093113E">
        <w:rPr>
          <w:rFonts w:cstheme="minorHAnsi"/>
        </w:rPr>
        <w:t xml:space="preserve"> w zw. z art. 226e </w:t>
      </w:r>
      <w:proofErr w:type="spellStart"/>
      <w:r w:rsidR="006639A5" w:rsidRPr="0093113E">
        <w:rPr>
          <w:rFonts w:cstheme="minorHAnsi"/>
        </w:rPr>
        <w:t>p.r.</w:t>
      </w:r>
      <w:proofErr w:type="spellEnd"/>
      <w:r w:rsidR="006639A5" w:rsidRPr="0093113E">
        <w:rPr>
          <w:rFonts w:cstheme="minorHAnsi"/>
        </w:rPr>
        <w:t xml:space="preserve"> w zw. z art. 312 ust. 1 ustawy z 15 maja 2015 r. - Prawo restrukturyzacyjne (dalej: „</w:t>
      </w:r>
      <w:proofErr w:type="spellStart"/>
      <w:r w:rsidR="006639A5" w:rsidRPr="0093113E">
        <w:rPr>
          <w:rFonts w:cstheme="minorHAnsi"/>
          <w:b/>
          <w:bCs/>
        </w:rPr>
        <w:t>p.r.</w:t>
      </w:r>
      <w:proofErr w:type="spellEnd"/>
      <w:r w:rsidR="006639A5" w:rsidRPr="0093113E">
        <w:rPr>
          <w:rFonts w:cstheme="minorHAnsi"/>
        </w:rPr>
        <w:t>”), na podstawie których postępowania egzekucyjne toczące się przeciwko majątkowi Dłużnika zostają zawieszone z mocy prawa z dniem otwarcia postępowania o zatwierdzenie układu, poprzez podjęcie postępowania egzekucyjnego i dokonanie Obwieszczenia</w:t>
      </w:r>
      <w:r w:rsidR="00A52BB2" w:rsidRPr="0093113E">
        <w:rPr>
          <w:rFonts w:cstheme="minorHAnsi"/>
        </w:rPr>
        <w:t xml:space="preserve">, w sytuacji </w:t>
      </w:r>
      <w:r w:rsidR="00937C6F" w:rsidRPr="0093113E">
        <w:rPr>
          <w:rFonts w:cstheme="minorHAnsi"/>
        </w:rPr>
        <w:t>gdy nie doszło do żadnej zmiany stanu faktycznego lub prawnego uzasadniającego podjęcie Postępowania Egzekucyjnego</w:t>
      </w:r>
      <w:r w:rsidR="0093113E" w:rsidRPr="0093113E">
        <w:rPr>
          <w:rFonts w:cstheme="minorHAnsi"/>
        </w:rPr>
        <w:t>.</w:t>
      </w:r>
    </w:p>
    <w:p w14:paraId="5AE4F8DE" w14:textId="6DDBE127" w:rsidR="007D70A9" w:rsidRPr="0093113E" w:rsidRDefault="007D70A9" w:rsidP="00A52BB2">
      <w:pPr>
        <w:spacing w:after="0" w:line="360" w:lineRule="auto"/>
        <w:jc w:val="both"/>
        <w:rPr>
          <w:rFonts w:cstheme="minorHAnsi"/>
        </w:rPr>
      </w:pPr>
    </w:p>
    <w:p w14:paraId="275996DF" w14:textId="32FDACAC" w:rsidR="00E17203" w:rsidRPr="0093113E" w:rsidRDefault="00E17203" w:rsidP="00A52BB2">
      <w:pPr>
        <w:spacing w:after="0" w:line="360" w:lineRule="auto"/>
        <w:jc w:val="both"/>
        <w:rPr>
          <w:rFonts w:cstheme="minorHAnsi"/>
        </w:rPr>
      </w:pPr>
    </w:p>
    <w:p w14:paraId="59290C66" w14:textId="77777777" w:rsidR="00E17203" w:rsidRPr="0093113E" w:rsidRDefault="00E17203" w:rsidP="00A52BB2">
      <w:pPr>
        <w:spacing w:after="0" w:line="360" w:lineRule="auto"/>
        <w:jc w:val="center"/>
        <w:rPr>
          <w:rFonts w:cstheme="minorHAnsi"/>
          <w:b/>
          <w:bCs/>
        </w:rPr>
      </w:pPr>
      <w:r w:rsidRPr="0093113E">
        <w:rPr>
          <w:rFonts w:cstheme="minorHAnsi"/>
          <w:b/>
          <w:bCs/>
        </w:rPr>
        <w:t>UZASADNIENIE</w:t>
      </w:r>
    </w:p>
    <w:p w14:paraId="16CD9DD8" w14:textId="77777777" w:rsidR="00E17203" w:rsidRPr="0093113E" w:rsidRDefault="00E17203" w:rsidP="00A52BB2">
      <w:pPr>
        <w:spacing w:after="0" w:line="360" w:lineRule="auto"/>
        <w:jc w:val="both"/>
        <w:rPr>
          <w:rFonts w:cstheme="minorHAnsi"/>
        </w:rPr>
      </w:pPr>
    </w:p>
    <w:p w14:paraId="01501486" w14:textId="6D84BD28" w:rsidR="00E17203" w:rsidRPr="0093113E" w:rsidRDefault="00E17203" w:rsidP="0093113E">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Stan faktyczny</w:t>
      </w:r>
    </w:p>
    <w:p w14:paraId="783001D0" w14:textId="3878D62E"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Przeciwko Dłużnikowi toczy się przed Komornikiem Sądowym przy Sądzie Rejonowym dla Warszawy-Mokotowa w Warszawie Karolem Gołębiewskim (Kancelaria Komornicza nr VI w Warszawie przy ul. J.P. Woronicza 31/73, 02-640 Warszawa) </w:t>
      </w:r>
      <w:r w:rsidRPr="0093113E">
        <w:rPr>
          <w:rFonts w:asciiTheme="minorHAnsi" w:hAnsiTheme="minorHAnsi" w:cstheme="minorHAnsi"/>
          <w:b/>
          <w:bCs/>
        </w:rPr>
        <w:t>postępowanie egzekucyjne</w:t>
      </w:r>
      <w:r w:rsidRPr="0093113E">
        <w:rPr>
          <w:rFonts w:asciiTheme="minorHAnsi" w:hAnsiTheme="minorHAnsi" w:cstheme="minorHAnsi"/>
        </w:rPr>
        <w:t>, prowadzone z wniosku Iwony Niewęgłowskiej, na podstawie tytułu wykonawczego – akt notarialnego z 9 listopada 2018 r., Rep. A 10336/2018, zaopatrzonego w klauzulę wykonalności z 17 lutego 2021 r. (sygn. akt: Km 410/21).</w:t>
      </w:r>
    </w:p>
    <w:p w14:paraId="64C27E0D"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Skarżący jest ponadto stroną </w:t>
      </w:r>
      <w:r w:rsidRPr="0093113E">
        <w:rPr>
          <w:rFonts w:asciiTheme="minorHAnsi" w:hAnsiTheme="minorHAnsi" w:cstheme="minorHAnsi"/>
          <w:b/>
          <w:bCs/>
        </w:rPr>
        <w:t>postępowania o zatwierdzenie układu</w:t>
      </w:r>
      <w:r w:rsidRPr="0093113E">
        <w:rPr>
          <w:rFonts w:asciiTheme="minorHAnsi" w:hAnsiTheme="minorHAnsi" w:cstheme="minorHAnsi"/>
        </w:rPr>
        <w:t xml:space="preserve">. W dniu 20 października 2022 r. Nadzorca układu - </w:t>
      </w:r>
      <w:r w:rsidRPr="0093113E">
        <w:rPr>
          <w:rFonts w:asciiTheme="minorHAnsi" w:hAnsiTheme="minorHAnsi" w:cstheme="minorHAnsi"/>
          <w:b/>
          <w:bCs/>
        </w:rPr>
        <w:t>Zimmerman Filipiak Restrukturyzacja S.A.</w:t>
      </w:r>
      <w:r w:rsidRPr="0093113E">
        <w:rPr>
          <w:rFonts w:asciiTheme="minorHAnsi" w:hAnsiTheme="minorHAnsi" w:cstheme="minorHAnsi"/>
        </w:rPr>
        <w:t xml:space="preserve">, na podstawie art. 226a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dokonał obwieszczenia w Krajowym Rejestrze Zadłużonych o ustaleniu dnia układowego w związku z zainicjowaniem postępowania o zatwierdzenie układu z opcją zawarcia układu częściowego (art. 210 i nast.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180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ustalając dzień układowy na </w:t>
      </w:r>
      <w:r w:rsidRPr="0093113E">
        <w:rPr>
          <w:rFonts w:asciiTheme="minorHAnsi" w:hAnsiTheme="minorHAnsi" w:cstheme="minorHAnsi"/>
          <w:b/>
          <w:bCs/>
        </w:rPr>
        <w:t>20 października 2022 r</w:t>
      </w:r>
      <w:r w:rsidRPr="0093113E">
        <w:rPr>
          <w:rFonts w:asciiTheme="minorHAnsi" w:hAnsiTheme="minorHAnsi" w:cstheme="minorHAnsi"/>
        </w:rPr>
        <w:t>.</w:t>
      </w:r>
    </w:p>
    <w:p w14:paraId="146A96E9" w14:textId="77777777" w:rsidR="00E17203" w:rsidRPr="0093113E" w:rsidRDefault="00E17203" w:rsidP="00A52BB2">
      <w:pPr>
        <w:pStyle w:val="Akapitzlist"/>
        <w:spacing w:after="0" w:line="360" w:lineRule="auto"/>
        <w:jc w:val="both"/>
        <w:rPr>
          <w:rFonts w:asciiTheme="minorHAnsi" w:hAnsiTheme="minorHAnsi" w:cstheme="minorHAnsi"/>
        </w:rPr>
      </w:pPr>
    </w:p>
    <w:p w14:paraId="3119ED99" w14:textId="558D1DA8" w:rsidR="00E17203" w:rsidRDefault="00E17203" w:rsidP="0093113E">
      <w:pPr>
        <w:pStyle w:val="Akapitzlist"/>
        <w:spacing w:after="0" w:line="360" w:lineRule="auto"/>
        <w:jc w:val="both"/>
        <w:rPr>
          <w:rFonts w:asciiTheme="minorHAnsi" w:hAnsiTheme="minorHAnsi" w:cstheme="minorHAnsi"/>
        </w:rPr>
      </w:pPr>
      <w:r w:rsidRPr="0093113E">
        <w:rPr>
          <w:rFonts w:asciiTheme="minorHAnsi" w:hAnsiTheme="minorHAnsi" w:cstheme="minorHAnsi"/>
        </w:rPr>
        <w:lastRenderedPageBreak/>
        <w:t xml:space="preserve">dowód: obwieszczenie w Krajowym Rejestrze Zadłużonych o ustaleniu dnia układowego z dnia 20 października 2022 r. </w:t>
      </w:r>
    </w:p>
    <w:p w14:paraId="21B78828" w14:textId="77777777" w:rsidR="0093113E" w:rsidRPr="0093113E" w:rsidRDefault="0093113E" w:rsidP="0093113E">
      <w:pPr>
        <w:pStyle w:val="Akapitzlist"/>
        <w:spacing w:after="0" w:line="360" w:lineRule="auto"/>
        <w:jc w:val="both"/>
        <w:rPr>
          <w:rFonts w:asciiTheme="minorHAnsi" w:hAnsiTheme="minorHAnsi" w:cstheme="minorHAnsi"/>
        </w:rPr>
      </w:pPr>
    </w:p>
    <w:p w14:paraId="4ABCC42C"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W związku z powyższym, od dnia dokonania obwieszczenia o dniu układowym, tj. od 20 października 2022 r., Dłużnik na podstawie art. 226d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226e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312 ust. 1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jest objęty ochroną przed prowadzeniem postępowań egzekucyjnych, co oznacza, że </w:t>
      </w:r>
      <w:r w:rsidRPr="0093113E">
        <w:rPr>
          <w:rFonts w:asciiTheme="minorHAnsi" w:hAnsiTheme="minorHAnsi" w:cstheme="minorHAnsi"/>
          <w:b/>
          <w:bCs/>
        </w:rPr>
        <w:t xml:space="preserve">wszczęte postępowanie egzekucyjne skierowane do majątku Dłużnika uległo zawieszeniu </w:t>
      </w:r>
      <w:r w:rsidRPr="0093113E">
        <w:rPr>
          <w:rFonts w:asciiTheme="minorHAnsi" w:hAnsiTheme="minorHAnsi" w:cstheme="minorHAnsi"/>
          <w:b/>
          <w:bCs/>
          <w:u w:val="single"/>
        </w:rPr>
        <w:t>z mocy prawa.</w:t>
      </w:r>
    </w:p>
    <w:p w14:paraId="46BEB1A9"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Zgodnie bowiem z powołanymi przepisami, od dnia dokonania obwieszczenia o ustaleniu dnia układowego do dnia prawomocnego umorzenia postępowania w przedmiocie rozpoznania wniosku o zatwierdzenie układu albo zakończenia postępowania o zatwierdzenie układu </w:t>
      </w:r>
      <w:r w:rsidRPr="0093113E">
        <w:rPr>
          <w:rFonts w:asciiTheme="minorHAnsi" w:hAnsiTheme="minorHAnsi" w:cstheme="minorHAnsi"/>
          <w:b/>
          <w:bCs/>
        </w:rPr>
        <w:t xml:space="preserve">postępowanie egzekucyjne </w:t>
      </w:r>
      <w:r w:rsidRPr="0093113E">
        <w:rPr>
          <w:rFonts w:asciiTheme="minorHAnsi" w:hAnsiTheme="minorHAnsi" w:cstheme="minorHAnsi"/>
          <w:b/>
          <w:bCs/>
          <w:u w:val="single"/>
        </w:rPr>
        <w:t>skierowane do majątku Dłużnika</w:t>
      </w:r>
      <w:r w:rsidRPr="0093113E">
        <w:rPr>
          <w:rFonts w:asciiTheme="minorHAnsi" w:hAnsiTheme="minorHAnsi" w:cstheme="minorHAnsi"/>
          <w:b/>
          <w:bCs/>
        </w:rPr>
        <w:t xml:space="preserve"> wszczęte przed dniem dokonania obwieszczenia ulega z mocy prawa zawieszeniu</w:t>
      </w:r>
      <w:r w:rsidRPr="0093113E">
        <w:rPr>
          <w:rFonts w:asciiTheme="minorHAnsi" w:hAnsiTheme="minorHAnsi" w:cstheme="minorHAnsi"/>
        </w:rPr>
        <w:t>.</w:t>
      </w:r>
    </w:p>
    <w:p w14:paraId="1CB28CE5" w14:textId="2DC07F94"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W niniejszej sprawie obwieszczenie o ustaleniu dnia układowego, opublikowane w Krajowym Rejestrze Zadłużonych, ukazało się 20 października 2022 roku. W związku z tym, od tego dnia nie jest możliwe podejmowanie dalszych czynności egzekucyjnych. </w:t>
      </w:r>
      <w:r w:rsidRPr="0093113E">
        <w:rPr>
          <w:rFonts w:asciiTheme="minorHAnsi" w:hAnsiTheme="minorHAnsi" w:cstheme="minorHAnsi"/>
          <w:b/>
          <w:bCs/>
        </w:rPr>
        <w:t>Zakaz jest na tyle szeroki, że obejmuje także wierzycieli zabezpieczonych na majątku Dłużnika i to także, w części, w której ich wierzytelność ma pokrycie w przedmiocie zabezpieczenia</w:t>
      </w:r>
      <w:r w:rsidRPr="0093113E">
        <w:rPr>
          <w:rStyle w:val="Odwoanieprzypisudolnego"/>
          <w:rFonts w:asciiTheme="minorHAnsi" w:hAnsiTheme="minorHAnsi" w:cstheme="minorHAnsi"/>
        </w:rPr>
        <w:footnoteReference w:id="2"/>
      </w:r>
      <w:r w:rsidRPr="0093113E">
        <w:rPr>
          <w:rFonts w:asciiTheme="minorHAnsi" w:hAnsiTheme="minorHAnsi" w:cstheme="minorHAnsi"/>
        </w:rPr>
        <w:t>.</w:t>
      </w:r>
    </w:p>
    <w:p w14:paraId="3C9A4241" w14:textId="55832DD0"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Komornik Sądowy przy Sądzie Rejonowym dla Warszawy-Mokotowa - Karol Gołębiewski podjął czynności zmierzające do zaniechania dalszego prowadzenia egzekucji z nieruchomości </w:t>
      </w:r>
      <w:r w:rsidRPr="0093113E">
        <w:rPr>
          <w:rFonts w:asciiTheme="minorHAnsi" w:eastAsia="Cambria" w:hAnsiTheme="minorHAnsi" w:cstheme="minorHAnsi"/>
        </w:rPr>
        <w:t>gruntowej niezabudowanej położonej w Warszawie przy ulicy Postępu 1A</w:t>
      </w:r>
      <w:r w:rsidR="00E932A8">
        <w:rPr>
          <w:rFonts w:asciiTheme="minorHAnsi" w:eastAsia="Cambria" w:hAnsiTheme="minorHAnsi" w:cstheme="minorHAnsi"/>
        </w:rPr>
        <w:t xml:space="preserve"> i 1B</w:t>
      </w:r>
      <w:r w:rsidRPr="0093113E">
        <w:rPr>
          <w:rFonts w:asciiTheme="minorHAnsi" w:eastAsia="Cambria" w:hAnsiTheme="minorHAnsi" w:cstheme="minorHAnsi"/>
        </w:rPr>
        <w:t xml:space="preserve">, dla której Sąd Rejonowy dla Warszawy-Mokotowa w Warszawie VII Wydział Ksiąg Wieczystych prowadzi księgi wieczyste o numerze WA2M/00505131/8 i WA2M/00143488/9 i wydał 4 listopada 2022 r. </w:t>
      </w:r>
      <w:r w:rsidRPr="0093113E">
        <w:rPr>
          <w:rFonts w:asciiTheme="minorHAnsi" w:eastAsia="Cambria" w:hAnsiTheme="minorHAnsi" w:cstheme="minorHAnsi"/>
          <w:b/>
          <w:bCs/>
        </w:rPr>
        <w:t>postanowienie stwierdzające zawieszenie postępowania egzekucyjnego z mocy prawa</w:t>
      </w:r>
      <w:r w:rsidRPr="0093113E">
        <w:rPr>
          <w:rFonts w:asciiTheme="minorHAnsi" w:eastAsia="Cambria" w:hAnsiTheme="minorHAnsi" w:cstheme="minorHAnsi"/>
        </w:rPr>
        <w:t xml:space="preserve">. </w:t>
      </w:r>
    </w:p>
    <w:p w14:paraId="05E4EACD" w14:textId="1920B6C9" w:rsidR="002769F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eastAsia="Cambria" w:hAnsiTheme="minorHAnsi" w:cstheme="minorHAnsi"/>
        </w:rPr>
        <w:t xml:space="preserve">Wierzyciel wniósł 22 listopada 2022 r. </w:t>
      </w:r>
      <w:r w:rsidRPr="0093113E">
        <w:rPr>
          <w:rFonts w:asciiTheme="minorHAnsi" w:eastAsia="Cambria" w:hAnsiTheme="minorHAnsi" w:cstheme="minorHAnsi"/>
          <w:b/>
          <w:bCs/>
        </w:rPr>
        <w:t>skargę na powyższe postanowienie Komornika Sądowego</w:t>
      </w:r>
      <w:r w:rsidRPr="0093113E">
        <w:rPr>
          <w:rFonts w:asciiTheme="minorHAnsi" w:eastAsia="Cambria" w:hAnsiTheme="minorHAnsi" w:cstheme="minorHAnsi"/>
        </w:rPr>
        <w:t xml:space="preserve"> i zaskarżył to postanowienie w zakresie pkt. 2, tj. w zakresie w jakim Komornik Sądowy stwierdził zawieszenie postępowania egzekucyjnego z mocy prawa.</w:t>
      </w:r>
    </w:p>
    <w:p w14:paraId="478DA6D0" w14:textId="196825BC" w:rsidR="002769F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b/>
          <w:bCs/>
        </w:rPr>
        <w:t>Referendarz Sądow</w:t>
      </w:r>
      <w:r w:rsidR="006639A5" w:rsidRPr="0093113E">
        <w:rPr>
          <w:rFonts w:asciiTheme="minorHAnsi" w:hAnsiTheme="minorHAnsi" w:cstheme="minorHAnsi"/>
          <w:b/>
          <w:bCs/>
        </w:rPr>
        <w:t>y</w:t>
      </w:r>
      <w:r w:rsidRPr="0093113E">
        <w:rPr>
          <w:rFonts w:asciiTheme="minorHAnsi" w:hAnsiTheme="minorHAnsi" w:cstheme="minorHAnsi"/>
          <w:b/>
          <w:bCs/>
        </w:rPr>
        <w:t xml:space="preserve"> Sądu Rejonowego dla Warszawy-Mokotowa w Warszawie, I Wydział Cywilny, Sekcja do rozpoznawania spraw egzekucyjnych z 18 stycznia 2023 r., sygnatura akt I Co 4070/22, („Postanowienie Referendarza Sądowego</w:t>
      </w:r>
      <w:r w:rsidRPr="0093113E">
        <w:rPr>
          <w:rFonts w:asciiTheme="minorHAnsi" w:hAnsiTheme="minorHAnsi" w:cstheme="minorHAnsi"/>
        </w:rPr>
        <w:t xml:space="preserve">”), </w:t>
      </w:r>
      <w:r w:rsidR="006639A5" w:rsidRPr="0093113E">
        <w:rPr>
          <w:rFonts w:asciiTheme="minorHAnsi" w:hAnsiTheme="minorHAnsi" w:cstheme="minorHAnsi"/>
        </w:rPr>
        <w:t xml:space="preserve">wydał postanowienie </w:t>
      </w:r>
      <w:r w:rsidRPr="0093113E">
        <w:rPr>
          <w:rFonts w:asciiTheme="minorHAnsi" w:hAnsiTheme="minorHAnsi" w:cstheme="minorHAnsi"/>
          <w:b/>
          <w:bCs/>
        </w:rPr>
        <w:t>uwzględni</w:t>
      </w:r>
      <w:r w:rsidR="006639A5" w:rsidRPr="0093113E">
        <w:rPr>
          <w:rFonts w:asciiTheme="minorHAnsi" w:hAnsiTheme="minorHAnsi" w:cstheme="minorHAnsi"/>
          <w:b/>
          <w:bCs/>
        </w:rPr>
        <w:t>ające skargę</w:t>
      </w:r>
      <w:r w:rsidRPr="0093113E">
        <w:rPr>
          <w:rFonts w:asciiTheme="minorHAnsi" w:hAnsiTheme="minorHAnsi" w:cstheme="minorHAnsi"/>
          <w:b/>
          <w:bCs/>
        </w:rPr>
        <w:t xml:space="preserve"> Wierzyciela</w:t>
      </w:r>
      <w:r w:rsidRPr="0093113E">
        <w:rPr>
          <w:rFonts w:asciiTheme="minorHAnsi" w:hAnsiTheme="minorHAnsi" w:cstheme="minorHAnsi"/>
        </w:rPr>
        <w:t xml:space="preserve"> </w:t>
      </w:r>
      <w:r w:rsidRPr="0093113E">
        <w:rPr>
          <w:rFonts w:asciiTheme="minorHAnsi" w:hAnsiTheme="minorHAnsi" w:cstheme="minorHAnsi"/>
          <w:b/>
          <w:bCs/>
        </w:rPr>
        <w:t>na część postanowienia</w:t>
      </w:r>
      <w:r w:rsidRPr="0093113E">
        <w:rPr>
          <w:rFonts w:asciiTheme="minorHAnsi" w:hAnsiTheme="minorHAnsi" w:cstheme="minorHAnsi"/>
        </w:rPr>
        <w:t xml:space="preserve"> Komornika Sądowego, tj. w </w:t>
      </w:r>
      <w:r w:rsidRPr="0093113E">
        <w:rPr>
          <w:rFonts w:asciiTheme="minorHAnsi" w:hAnsiTheme="minorHAnsi" w:cstheme="minorHAnsi"/>
        </w:rPr>
        <w:lastRenderedPageBreak/>
        <w:t xml:space="preserve">zakresie punktu 2 tegoż postanowienia dotyczącego zawieszenia postępowania egzekucyjnego i </w:t>
      </w:r>
      <w:r w:rsidRPr="0093113E">
        <w:rPr>
          <w:rFonts w:asciiTheme="minorHAnsi" w:hAnsiTheme="minorHAnsi" w:cstheme="minorHAnsi"/>
          <w:b/>
          <w:bCs/>
        </w:rPr>
        <w:t>uchyl</w:t>
      </w:r>
      <w:r w:rsidR="006639A5" w:rsidRPr="0093113E">
        <w:rPr>
          <w:rFonts w:asciiTheme="minorHAnsi" w:hAnsiTheme="minorHAnsi" w:cstheme="minorHAnsi"/>
          <w:b/>
          <w:bCs/>
        </w:rPr>
        <w:t>ił</w:t>
      </w:r>
      <w:r w:rsidRPr="0093113E">
        <w:rPr>
          <w:rFonts w:asciiTheme="minorHAnsi" w:hAnsiTheme="minorHAnsi" w:cstheme="minorHAnsi"/>
          <w:b/>
          <w:bCs/>
        </w:rPr>
        <w:t xml:space="preserve"> punkt 2 </w:t>
      </w:r>
      <w:r w:rsidRPr="0093113E">
        <w:rPr>
          <w:rFonts w:asciiTheme="minorHAnsi" w:hAnsiTheme="minorHAnsi" w:cstheme="minorHAnsi"/>
        </w:rPr>
        <w:t>postanowienia Komornika Sądowego.</w:t>
      </w:r>
    </w:p>
    <w:p w14:paraId="7E022D44" w14:textId="77777777" w:rsidR="006639A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Dłużnik wniósł skargę na Postanowienie Referendarza Sądowego 14 lutego 2023 r.</w:t>
      </w:r>
      <w:r w:rsidR="004B4E34" w:rsidRPr="0093113E">
        <w:rPr>
          <w:rFonts w:asciiTheme="minorHAnsi" w:hAnsiTheme="minorHAnsi" w:cstheme="minorHAnsi"/>
        </w:rPr>
        <w:t xml:space="preserve"> </w:t>
      </w:r>
      <w:r w:rsidR="004B4E34" w:rsidRPr="0093113E">
        <w:rPr>
          <w:rFonts w:asciiTheme="minorHAnsi" w:hAnsiTheme="minorHAnsi" w:cstheme="minorHAnsi"/>
          <w:b/>
          <w:bCs/>
        </w:rPr>
        <w:t>z</w:t>
      </w:r>
      <w:r w:rsidRPr="0093113E">
        <w:rPr>
          <w:rFonts w:asciiTheme="minorHAnsi" w:hAnsiTheme="minorHAnsi" w:cstheme="minorHAnsi"/>
          <w:b/>
          <w:bCs/>
        </w:rPr>
        <w:t>askarżając przedmiotowe Postanowienie Referendarza Sądowego w całości</w:t>
      </w:r>
      <w:r w:rsidRPr="0093113E">
        <w:rPr>
          <w:rFonts w:asciiTheme="minorHAnsi" w:hAnsiTheme="minorHAnsi" w:cstheme="minorHAnsi"/>
        </w:rPr>
        <w:t>.</w:t>
      </w:r>
      <w:r w:rsidR="004B4E34" w:rsidRPr="0093113E">
        <w:rPr>
          <w:rFonts w:asciiTheme="minorHAnsi" w:hAnsiTheme="minorHAnsi" w:cstheme="minorHAnsi"/>
        </w:rPr>
        <w:t xml:space="preserve"> </w:t>
      </w:r>
    </w:p>
    <w:p w14:paraId="17110CF9" w14:textId="125CACCF" w:rsidR="002769F5" w:rsidRPr="0093113E" w:rsidRDefault="004B4E34"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b/>
          <w:bCs/>
        </w:rPr>
        <w:t xml:space="preserve">Do dnia wniesienia niniejszej skargi, skarga na Postanowienie Referendarza Sądowego nie została rozpatrzona, tym samym Postanowienie Referendarza Sądowego </w:t>
      </w:r>
      <w:r w:rsidR="0093113E">
        <w:rPr>
          <w:rFonts w:asciiTheme="minorHAnsi" w:hAnsiTheme="minorHAnsi" w:cstheme="minorHAnsi"/>
          <w:b/>
          <w:bCs/>
        </w:rPr>
        <w:t xml:space="preserve">uchylające pkt 2 postanowienia Komornika Sądowego w zakresie zawieszenia Postępowania Egzekucyjnego </w:t>
      </w:r>
      <w:r w:rsidRPr="0093113E">
        <w:rPr>
          <w:rFonts w:asciiTheme="minorHAnsi" w:hAnsiTheme="minorHAnsi" w:cstheme="minorHAnsi"/>
          <w:b/>
          <w:bCs/>
        </w:rPr>
        <w:t>nie jest prawomocne.</w:t>
      </w:r>
    </w:p>
    <w:p w14:paraId="04EC9E92" w14:textId="77777777" w:rsidR="00E17203" w:rsidRPr="0093113E" w:rsidRDefault="00E17203" w:rsidP="00A52BB2">
      <w:pPr>
        <w:spacing w:after="0" w:line="360" w:lineRule="auto"/>
        <w:jc w:val="both"/>
        <w:rPr>
          <w:rFonts w:cstheme="minorHAnsi"/>
          <w:b/>
          <w:bCs/>
        </w:rPr>
      </w:pPr>
    </w:p>
    <w:p w14:paraId="06A3C7D2" w14:textId="48BCBEAB" w:rsidR="00E17203" w:rsidRPr="0093113E" w:rsidRDefault="00E17203" w:rsidP="00A52BB2">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Stan prawny</w:t>
      </w:r>
    </w:p>
    <w:p w14:paraId="202BED20" w14:textId="77777777" w:rsidR="0093113E" w:rsidRDefault="0093113E" w:rsidP="00A52BB2">
      <w:pPr>
        <w:spacing w:after="0" w:line="360" w:lineRule="auto"/>
        <w:jc w:val="both"/>
        <w:rPr>
          <w:rFonts w:cstheme="minorHAnsi"/>
          <w:b/>
          <w:bCs/>
          <w:u w:val="single"/>
        </w:rPr>
      </w:pPr>
    </w:p>
    <w:p w14:paraId="751A85FE" w14:textId="085E2E89" w:rsidR="00C34BBD" w:rsidRPr="0093113E" w:rsidRDefault="00C34BBD" w:rsidP="00A52BB2">
      <w:pPr>
        <w:spacing w:after="0" w:line="360" w:lineRule="auto"/>
        <w:jc w:val="both"/>
        <w:rPr>
          <w:rFonts w:cstheme="minorHAnsi"/>
          <w:b/>
          <w:bCs/>
          <w:u w:val="single"/>
        </w:rPr>
      </w:pPr>
      <w:r w:rsidRPr="0093113E">
        <w:rPr>
          <w:rFonts w:cstheme="minorHAnsi"/>
          <w:b/>
          <w:bCs/>
          <w:u w:val="single"/>
        </w:rPr>
        <w:t>POSTĘPOWANIE O ZATWIERDZENIE UKŁADU Z OBWIESZCZENIEM</w:t>
      </w:r>
    </w:p>
    <w:p w14:paraId="54358659"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Zgodnie z art. 226d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226e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312 ust. 1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postępowaniu o zatwierdzenie układu </w:t>
      </w:r>
      <w:r w:rsidRPr="0093113E">
        <w:rPr>
          <w:rFonts w:asciiTheme="minorHAnsi" w:hAnsiTheme="minorHAnsi" w:cstheme="minorHAnsi"/>
          <w:b/>
          <w:bCs/>
        </w:rPr>
        <w:t xml:space="preserve">stosuje się odpowiednio art. 312 </w:t>
      </w:r>
      <w:proofErr w:type="spellStart"/>
      <w:r w:rsidRPr="0093113E">
        <w:rPr>
          <w:rFonts w:asciiTheme="minorHAnsi" w:hAnsiTheme="minorHAnsi" w:cstheme="minorHAnsi"/>
          <w:b/>
          <w:bCs/>
        </w:rPr>
        <w:t>p.r.</w:t>
      </w:r>
      <w:proofErr w:type="spellEnd"/>
    </w:p>
    <w:p w14:paraId="246FF3FA"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rPr>
        <w:t xml:space="preserve">Na mocy art. 312 </w:t>
      </w:r>
      <w:proofErr w:type="spellStart"/>
      <w:r w:rsidRPr="0093113E">
        <w:rPr>
          <w:rFonts w:asciiTheme="minorHAnsi" w:hAnsiTheme="minorHAnsi" w:cstheme="minorHAnsi"/>
        </w:rPr>
        <w:t>p.r.</w:t>
      </w:r>
      <w:proofErr w:type="spellEnd"/>
      <w:r w:rsidRPr="0093113E">
        <w:rPr>
          <w:rFonts w:asciiTheme="minorHAnsi" w:hAnsiTheme="minorHAnsi" w:cstheme="minorHAnsi"/>
          <w:b/>
          <w:bCs/>
          <w:shd w:val="clear" w:color="auto" w:fill="FFFFFF"/>
        </w:rPr>
        <w:t xml:space="preserve"> wszystkie postępowania egzekucyjne skierowane do majątku dłużnika wchodzącego w skład masy sanacyjnej, wszczęte przed dniem otwarcia postępowania sanacyjnego, ulegają zawieszeniu z mocy prawa z dniem otwarcia postępowania sanacyjnego.</w:t>
      </w:r>
      <w:r w:rsidRPr="0093113E">
        <w:rPr>
          <w:rFonts w:asciiTheme="minorHAnsi" w:hAnsiTheme="minorHAnsi" w:cstheme="minorHAnsi"/>
          <w:shd w:val="clear" w:color="auto" w:fill="FFFFFF"/>
        </w:rPr>
        <w:t xml:space="preserve"> Jak wskazuje się w doktrynie, dotyczy to zarówno postępowań egzekucyjnych odnoszących się do wierzytelności </w:t>
      </w:r>
      <w:r w:rsidRPr="0093113E">
        <w:rPr>
          <w:rFonts w:asciiTheme="minorHAnsi" w:hAnsiTheme="minorHAnsi" w:cstheme="minorHAnsi"/>
          <w:b/>
          <w:bCs/>
          <w:shd w:val="clear" w:color="auto" w:fill="FFFFFF"/>
        </w:rPr>
        <w:t>objętych z mocy prawa układem, jak i postępowań, które dotyczą wierzytelności nieobjętych z mocy prawa układem, w tym również wierzytelności, które są zabezpieczone na mieniu dłużnika hipoteką, zastawem, zastawem rejestrowym, zastawem skarbowym lub hipoteką morską</w:t>
      </w:r>
      <w:r w:rsidRPr="0093113E">
        <w:rPr>
          <w:rFonts w:asciiTheme="minorHAnsi" w:hAnsiTheme="minorHAnsi" w:cstheme="minorHAnsi"/>
          <w:shd w:val="clear" w:color="auto" w:fill="FFFFFF"/>
        </w:rPr>
        <w:t xml:space="preserve"> (...)</w:t>
      </w:r>
      <w:r w:rsidRPr="0093113E">
        <w:rPr>
          <w:rStyle w:val="Odwoanieprzypisudolnego"/>
          <w:rFonts w:asciiTheme="minorHAnsi" w:hAnsiTheme="minorHAnsi" w:cstheme="minorHAnsi"/>
          <w:shd w:val="clear" w:color="auto" w:fill="FFFFFF"/>
        </w:rPr>
        <w:footnoteReference w:id="3"/>
      </w:r>
      <w:r w:rsidRPr="0093113E">
        <w:rPr>
          <w:rFonts w:asciiTheme="minorHAnsi" w:hAnsiTheme="minorHAnsi" w:cstheme="minorHAnsi"/>
          <w:shd w:val="clear" w:color="auto" w:fill="FFFFFF"/>
        </w:rPr>
        <w:t xml:space="preserve">. Jedynym wyjątkiem są postępowania egzekucyjne dotyczące </w:t>
      </w:r>
      <w:r w:rsidRPr="0093113E">
        <w:rPr>
          <w:rFonts w:asciiTheme="minorHAnsi" w:hAnsiTheme="minorHAnsi" w:cstheme="minorHAnsi"/>
          <w:b/>
          <w:bCs/>
          <w:shd w:val="clear" w:color="auto" w:fill="FFFFFF"/>
        </w:rPr>
        <w:t>świadczeń alimentacyjnych</w:t>
      </w:r>
      <w:r w:rsidRPr="0093113E">
        <w:rPr>
          <w:rFonts w:asciiTheme="minorHAnsi" w:hAnsiTheme="minorHAnsi" w:cstheme="minorHAnsi"/>
          <w:shd w:val="clear" w:color="auto" w:fill="FFFFFF"/>
        </w:rPr>
        <w:t xml:space="preserve"> oraz </w:t>
      </w:r>
      <w:r w:rsidRPr="0093113E">
        <w:rPr>
          <w:rFonts w:asciiTheme="minorHAnsi" w:hAnsiTheme="minorHAnsi" w:cstheme="minorHAnsi"/>
          <w:b/>
          <w:bCs/>
          <w:shd w:val="clear" w:color="auto" w:fill="FFFFFF"/>
        </w:rPr>
        <w:t>rent z tytułu odszkodowania za wywołanie choroby, niezdolności do pracy, kalectwa lub śmierci</w:t>
      </w:r>
      <w:r w:rsidRPr="0093113E">
        <w:rPr>
          <w:rFonts w:asciiTheme="minorHAnsi" w:hAnsiTheme="minorHAnsi" w:cstheme="minorHAnsi"/>
          <w:shd w:val="clear" w:color="auto" w:fill="FFFFFF"/>
        </w:rPr>
        <w:t xml:space="preserve"> oraz </w:t>
      </w:r>
      <w:r w:rsidRPr="0093113E">
        <w:rPr>
          <w:rFonts w:asciiTheme="minorHAnsi" w:hAnsiTheme="minorHAnsi" w:cstheme="minorHAnsi"/>
          <w:b/>
          <w:bCs/>
          <w:shd w:val="clear" w:color="auto" w:fill="FFFFFF"/>
        </w:rPr>
        <w:t>z tytułu zamiany uprawnień objętych treścią prawa dożywocia na dożywotnią rentę</w:t>
      </w:r>
      <w:r w:rsidRPr="0093113E">
        <w:rPr>
          <w:rFonts w:asciiTheme="minorHAnsi" w:hAnsiTheme="minorHAnsi" w:cstheme="minorHAnsi"/>
          <w:shd w:val="clear" w:color="auto" w:fill="FFFFFF"/>
        </w:rPr>
        <w:t>, które mogą być kontynuowane mimo otwarcia postępowania sanacyjnego.</w:t>
      </w:r>
    </w:p>
    <w:p w14:paraId="75EF8A05"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b/>
          <w:bCs/>
          <w:shd w:val="clear" w:color="auto" w:fill="FFFFFF"/>
        </w:rPr>
        <w:t>W postępowaniu o zatwierdzenie układu z obwieszczeniem</w:t>
      </w:r>
      <w:r w:rsidRPr="0093113E">
        <w:rPr>
          <w:rFonts w:asciiTheme="minorHAnsi" w:hAnsiTheme="minorHAnsi" w:cstheme="minorHAnsi"/>
          <w:shd w:val="clear" w:color="auto" w:fill="FFFFFF"/>
        </w:rPr>
        <w:t xml:space="preserve"> zawieszeniu z mocy prawa ulegnie postępowanie egzekucyjne skierowane do majątku dłużnika wszczęte przed dniem dokonania obwieszczenia o ustaleniu dnia układowego. W postępowaniu o zatwierdzenie układu z obwieszczeniem nie wyróżnia się masy majątkowej takiej jak masa sanacyjna. Odpowiednie zastosowanie przepisu art. 312 ust. 1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 xml:space="preserve"> oznacza, że zawieszeniu ulegają </w:t>
      </w:r>
      <w:r w:rsidRPr="0093113E">
        <w:rPr>
          <w:rFonts w:asciiTheme="minorHAnsi" w:hAnsiTheme="minorHAnsi" w:cstheme="minorHAnsi"/>
          <w:shd w:val="clear" w:color="auto" w:fill="FFFFFF"/>
        </w:rPr>
        <w:lastRenderedPageBreak/>
        <w:t>postępowania egzekucyjne skierowane do wszystkich składników majątku dłużnika</w:t>
      </w:r>
      <w:r w:rsidRPr="0093113E">
        <w:rPr>
          <w:rStyle w:val="footnote"/>
          <w:rFonts w:asciiTheme="minorHAnsi" w:hAnsiTheme="minorHAnsi" w:cstheme="minorHAnsi"/>
          <w:shd w:val="clear" w:color="auto" w:fill="FFFFFF"/>
        </w:rPr>
        <w:t>.</w:t>
      </w:r>
      <w:r w:rsidRPr="0093113E">
        <w:rPr>
          <w:rFonts w:asciiTheme="minorHAnsi" w:hAnsiTheme="minorHAnsi" w:cstheme="minorHAnsi"/>
          <w:shd w:val="clear" w:color="auto" w:fill="FFFFFF"/>
        </w:rPr>
        <w:t xml:space="preserve"> Zakaz egzekucji dotyczy wierzytelności objętych układem oraz nieobjętych układem</w:t>
      </w:r>
      <w:r w:rsidRPr="0093113E">
        <w:rPr>
          <w:rStyle w:val="Odwoanieprzypisudolnego"/>
          <w:rFonts w:asciiTheme="minorHAnsi" w:hAnsiTheme="minorHAnsi" w:cstheme="minorHAnsi"/>
          <w:shd w:val="clear" w:color="auto" w:fill="FFFFFF"/>
        </w:rPr>
        <w:footnoteReference w:id="4"/>
      </w:r>
      <w:r w:rsidRPr="0093113E">
        <w:rPr>
          <w:rFonts w:asciiTheme="minorHAnsi" w:hAnsiTheme="minorHAnsi" w:cstheme="minorHAnsi"/>
          <w:shd w:val="clear" w:color="auto" w:fill="FFFFFF"/>
        </w:rPr>
        <w:t>.</w:t>
      </w:r>
    </w:p>
    <w:p w14:paraId="018ED79C" w14:textId="3163BA14"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rPr>
        <w:t xml:space="preserve">Mając na uwadze, że przepisy dotyczące postępowania o zatwierdzenie układu odsyłają do art. 312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t>
      </w:r>
      <w:r w:rsidRPr="0093113E">
        <w:rPr>
          <w:rFonts w:asciiTheme="minorHAnsi" w:hAnsiTheme="minorHAnsi" w:cstheme="minorHAnsi"/>
          <w:shd w:val="clear" w:color="auto" w:fill="FFFFFF"/>
        </w:rPr>
        <w:t xml:space="preserve">Dłużnik korzysta </w:t>
      </w:r>
      <w:r w:rsidRPr="0093113E">
        <w:rPr>
          <w:rFonts w:asciiTheme="minorHAnsi" w:hAnsiTheme="minorHAnsi" w:cstheme="minorHAnsi"/>
          <w:b/>
          <w:bCs/>
          <w:shd w:val="clear" w:color="auto" w:fill="FFFFFF"/>
        </w:rPr>
        <w:t xml:space="preserve">z szerokiej ochrony </w:t>
      </w:r>
      <w:proofErr w:type="spellStart"/>
      <w:r w:rsidRPr="0093113E">
        <w:rPr>
          <w:rFonts w:asciiTheme="minorHAnsi" w:hAnsiTheme="minorHAnsi" w:cstheme="minorHAnsi"/>
          <w:b/>
          <w:bCs/>
          <w:shd w:val="clear" w:color="auto" w:fill="FFFFFF"/>
        </w:rPr>
        <w:t>przeciwegzekucyjnej</w:t>
      </w:r>
      <w:proofErr w:type="spellEnd"/>
      <w:r w:rsidRPr="0093113E">
        <w:rPr>
          <w:rFonts w:asciiTheme="minorHAnsi" w:hAnsiTheme="minorHAnsi" w:cstheme="minorHAnsi"/>
          <w:shd w:val="clear" w:color="auto" w:fill="FFFFFF"/>
        </w:rPr>
        <w:t xml:space="preserve">. Ochrona wynikająca z art. 312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 xml:space="preserve"> </w:t>
      </w:r>
      <w:r w:rsidRPr="0093113E">
        <w:rPr>
          <w:rFonts w:asciiTheme="minorHAnsi" w:hAnsiTheme="minorHAnsi" w:cstheme="minorHAnsi"/>
          <w:b/>
          <w:bCs/>
          <w:shd w:val="clear" w:color="auto" w:fill="FFFFFF"/>
        </w:rPr>
        <w:t>jest najszerszą ochroną udzielaną w toku postępowania restrukturyzacyjnego</w:t>
      </w:r>
      <w:r w:rsidRPr="0093113E">
        <w:rPr>
          <w:rStyle w:val="Odwoanieprzypisudolnego"/>
          <w:rFonts w:asciiTheme="minorHAnsi" w:hAnsiTheme="minorHAnsi" w:cstheme="minorHAnsi"/>
          <w:b/>
          <w:bCs/>
          <w:shd w:val="clear" w:color="auto" w:fill="FFFFFF"/>
        </w:rPr>
        <w:footnoteReference w:id="5"/>
      </w:r>
      <w:r w:rsidRPr="0093113E">
        <w:rPr>
          <w:rFonts w:asciiTheme="minorHAnsi" w:hAnsiTheme="minorHAnsi" w:cstheme="minorHAnsi"/>
          <w:shd w:val="clear" w:color="auto" w:fill="FFFFFF"/>
        </w:rPr>
        <w:t xml:space="preserve">. </w:t>
      </w:r>
      <w:r w:rsidRPr="0093113E">
        <w:rPr>
          <w:rFonts w:asciiTheme="minorHAnsi" w:hAnsiTheme="minorHAnsi" w:cstheme="minorHAnsi"/>
          <w:b/>
          <w:bCs/>
          <w:shd w:val="clear" w:color="auto" w:fill="FFFFFF"/>
        </w:rPr>
        <w:t>Gdyby intencją ustawodawcy było ograniczenie ochrony Dłużnika</w:t>
      </w:r>
      <w:r w:rsidRPr="0093113E">
        <w:rPr>
          <w:rFonts w:asciiTheme="minorHAnsi" w:hAnsiTheme="minorHAnsi" w:cstheme="minorHAnsi"/>
          <w:shd w:val="clear" w:color="auto" w:fill="FFFFFF"/>
        </w:rPr>
        <w:t xml:space="preserve"> (poprzez wyłączenie stosowania przepisu w stosunku do wierzytelności z tytułu emisji obligacji) , </w:t>
      </w:r>
      <w:r w:rsidRPr="0093113E">
        <w:rPr>
          <w:rFonts w:asciiTheme="minorHAnsi" w:hAnsiTheme="minorHAnsi" w:cstheme="minorHAnsi"/>
          <w:b/>
          <w:bCs/>
          <w:shd w:val="clear" w:color="auto" w:fill="FFFFFF"/>
        </w:rPr>
        <w:t>wówczas zawarłby odniesienie do odpowiedniego stosowania przepisów właściwych dla postepowania układowego, nie zaś sanacyjnego</w:t>
      </w:r>
      <w:r w:rsidRPr="0093113E">
        <w:rPr>
          <w:rFonts w:asciiTheme="minorHAnsi" w:hAnsiTheme="minorHAnsi" w:cstheme="minorHAnsi"/>
          <w:shd w:val="clear" w:color="auto" w:fill="FFFFFF"/>
        </w:rPr>
        <w:t xml:space="preserve">. Z brzmienia ustawy </w:t>
      </w:r>
      <w:r w:rsidRPr="0093113E">
        <w:rPr>
          <w:rFonts w:asciiTheme="minorHAnsi" w:hAnsiTheme="minorHAnsi" w:cstheme="minorHAnsi"/>
          <w:i/>
          <w:iCs/>
          <w:shd w:val="clear" w:color="auto" w:fill="FFFFFF"/>
        </w:rPr>
        <w:t>expressis verbis</w:t>
      </w:r>
      <w:r w:rsidRPr="0093113E">
        <w:rPr>
          <w:rFonts w:asciiTheme="minorHAnsi" w:hAnsiTheme="minorHAnsi" w:cstheme="minorHAnsi"/>
          <w:shd w:val="clear" w:color="auto" w:fill="FFFFFF"/>
        </w:rPr>
        <w:t xml:space="preserve"> wynika, że w postępowaniu o zatwierdzenie układu Dłużnik jest chroniony w najszerszy sposób, przyjęcie odmiennej wykładni godzi w zasadę racjonalności ustawodawcy. </w:t>
      </w:r>
    </w:p>
    <w:p w14:paraId="5FF21D77"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b/>
          <w:bCs/>
          <w:shd w:val="clear" w:color="auto" w:fill="FFFFFF"/>
        </w:rPr>
        <w:t xml:space="preserve">Powyższa interpretacja zgodna jest także z celem odesłania wprowadzonego przez ustawodawcę. </w:t>
      </w:r>
      <w:r w:rsidRPr="0093113E">
        <w:rPr>
          <w:rFonts w:asciiTheme="minorHAnsi" w:hAnsiTheme="minorHAnsi" w:cstheme="minorHAnsi"/>
          <w:shd w:val="clear" w:color="auto" w:fill="FFFFFF"/>
        </w:rPr>
        <w:t xml:space="preserve">Zawieszenie postępowań egzekucyjnych skierowanych do majątku dłużnika ułatwia bowiem przeprowadzenie negocjacji z wierzycielami. Dłużnik ma wówczas możliwość wypracowania porozumienia z wierzycielami bez obawy o majątek, który w drodze postępowań egzekucyjnych podlegałby sukcesywnemu uszczupleniu. Z kolei wierzyciele nieobjęci układem są zaspokajani w 100%, tym samym nie powstaje ryzyko naruszenia ich interesu. </w:t>
      </w:r>
    </w:p>
    <w:p w14:paraId="666134FF" w14:textId="2A2016D2"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shd w:val="clear" w:color="auto" w:fill="FFFFFF"/>
        </w:rPr>
        <w:t xml:space="preserve">W przedmiotowej sprawie, nieruchomość objęta postępowaniem egzekucyjnym, stanowi zasadniczo jedyny składnik majątkowy Dłużnika. Dalsze prowadzenie postępowania egzekucyjnego </w:t>
      </w:r>
      <w:r w:rsidR="00C34BBD" w:rsidRPr="0093113E">
        <w:rPr>
          <w:rFonts w:asciiTheme="minorHAnsi" w:hAnsiTheme="minorHAnsi" w:cstheme="minorHAnsi"/>
          <w:b/>
          <w:bCs/>
          <w:shd w:val="clear" w:color="auto" w:fill="FFFFFF"/>
        </w:rPr>
        <w:t>może</w:t>
      </w:r>
      <w:r w:rsidRPr="0093113E">
        <w:rPr>
          <w:rFonts w:asciiTheme="minorHAnsi" w:hAnsiTheme="minorHAnsi" w:cstheme="minorHAnsi"/>
          <w:b/>
          <w:bCs/>
          <w:shd w:val="clear" w:color="auto" w:fill="FFFFFF"/>
        </w:rPr>
        <w:t xml:space="preserve"> uniemożliwić wykonanie układu, który został zatwierdzony przez wierzycieli objętych układem (pozostali wierzyciele zostaną zaspokojeni w pełnej wysokości), jak również oczekuje na zatwierdzenie przez sąd</w:t>
      </w:r>
      <w:r w:rsidRPr="0093113E">
        <w:rPr>
          <w:rFonts w:asciiTheme="minorHAnsi" w:hAnsiTheme="minorHAnsi" w:cstheme="minorHAnsi"/>
          <w:shd w:val="clear" w:color="auto" w:fill="FFFFFF"/>
        </w:rPr>
        <w:t xml:space="preserve">.  </w:t>
      </w:r>
    </w:p>
    <w:p w14:paraId="3A3B0CFA"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shd w:val="clear" w:color="auto" w:fill="FFFFFF"/>
        </w:rPr>
        <w:t xml:space="preserve">Podkreślić również należy, że prawa wierzycieli, których roszczenia nie mogą być chwilowo egzekwowane (wskutek zawieszenia postępowania egzekucyjnego), są dostatecznie zabezpieczone. Trzeba bowiem wskazać, że z dniem obwieszczenia o ustaleniu dnia układowego </w:t>
      </w:r>
      <w:r w:rsidRPr="0093113E">
        <w:rPr>
          <w:rFonts w:asciiTheme="minorHAnsi" w:hAnsiTheme="minorHAnsi" w:cstheme="minorHAnsi"/>
          <w:b/>
          <w:bCs/>
          <w:shd w:val="clear" w:color="auto" w:fill="FFFFFF"/>
        </w:rPr>
        <w:t>bieg przedawnienia roszczenia nie rozpoczyna się, a rozpoczęty ulega zawieszeniu przez czas trwania postępowania o zatwierdzenie układu</w:t>
      </w:r>
      <w:r w:rsidRPr="0093113E">
        <w:rPr>
          <w:rFonts w:asciiTheme="minorHAnsi" w:hAnsiTheme="minorHAnsi" w:cstheme="minorHAnsi"/>
          <w:shd w:val="clear" w:color="auto" w:fill="FFFFFF"/>
        </w:rPr>
        <w:t xml:space="preserve"> (por. art. 312 ust. 6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w:t>
      </w:r>
      <w:r w:rsidRPr="0093113E">
        <w:rPr>
          <w:rStyle w:val="Odwoanieprzypisudolnego"/>
          <w:rFonts w:asciiTheme="minorHAnsi" w:hAnsiTheme="minorHAnsi" w:cstheme="minorHAnsi"/>
          <w:shd w:val="clear" w:color="auto" w:fill="FFFFFF"/>
        </w:rPr>
        <w:footnoteReference w:id="6"/>
      </w:r>
      <w:r w:rsidRPr="0093113E">
        <w:rPr>
          <w:rFonts w:asciiTheme="minorHAnsi" w:hAnsiTheme="minorHAnsi" w:cstheme="minorHAnsi"/>
          <w:shd w:val="clear" w:color="auto" w:fill="FFFFFF"/>
        </w:rPr>
        <w:t>.</w:t>
      </w:r>
    </w:p>
    <w:p w14:paraId="066DB3B5" w14:textId="562F4836" w:rsidR="00E17203" w:rsidRPr="0093113E" w:rsidRDefault="00C34BBD" w:rsidP="00A52BB2">
      <w:pPr>
        <w:pStyle w:val="Akapitzlist"/>
        <w:numPr>
          <w:ilvl w:val="0"/>
          <w:numId w:val="7"/>
        </w:numPr>
        <w:spacing w:after="0" w:line="360" w:lineRule="auto"/>
        <w:jc w:val="both"/>
        <w:rPr>
          <w:rFonts w:asciiTheme="minorHAnsi" w:hAnsiTheme="minorHAnsi" w:cstheme="minorHAnsi"/>
          <w:b/>
          <w:bCs/>
        </w:rPr>
      </w:pPr>
      <w:r w:rsidRPr="0093113E">
        <w:rPr>
          <w:rFonts w:asciiTheme="minorHAnsi" w:hAnsiTheme="minorHAnsi" w:cstheme="minorHAnsi"/>
          <w:shd w:val="clear" w:color="auto" w:fill="FFFFFF"/>
        </w:rPr>
        <w:lastRenderedPageBreak/>
        <w:t>P</w:t>
      </w:r>
      <w:r w:rsidR="00E17203" w:rsidRPr="0093113E">
        <w:rPr>
          <w:rFonts w:asciiTheme="minorHAnsi" w:hAnsiTheme="minorHAnsi" w:cstheme="minorHAnsi"/>
          <w:shd w:val="clear" w:color="auto" w:fill="FFFFFF"/>
        </w:rPr>
        <w:t xml:space="preserve">ropozycje układowe przedstawione przez Dłużnika w postępowaniu o zatwierdzenie układu przewidują </w:t>
      </w:r>
      <w:r w:rsidR="00E17203" w:rsidRPr="0093113E">
        <w:rPr>
          <w:rFonts w:asciiTheme="minorHAnsi" w:hAnsiTheme="minorHAnsi" w:cstheme="minorHAnsi"/>
          <w:b/>
          <w:bCs/>
          <w:shd w:val="clear" w:color="auto" w:fill="FFFFFF"/>
        </w:rPr>
        <w:t>pełne zaspokojenie wierzycieli obligacyjnych</w:t>
      </w:r>
      <w:r w:rsidR="00E17203" w:rsidRPr="0093113E">
        <w:rPr>
          <w:rFonts w:asciiTheme="minorHAnsi" w:hAnsiTheme="minorHAnsi" w:cstheme="minorHAnsi"/>
          <w:shd w:val="clear" w:color="auto" w:fill="FFFFFF"/>
        </w:rPr>
        <w:t xml:space="preserve">. </w:t>
      </w:r>
      <w:r w:rsidR="00E17203" w:rsidRPr="0093113E">
        <w:rPr>
          <w:rFonts w:asciiTheme="minorHAnsi" w:hAnsiTheme="minorHAnsi" w:cstheme="minorHAnsi"/>
          <w:b/>
          <w:bCs/>
          <w:shd w:val="clear" w:color="auto" w:fill="FFFFFF"/>
        </w:rPr>
        <w:t>Tym samym zawieszenie postępowania egzekucyjnego nie prowadzi do pokrzywdzenia wierzycieli i nie prowadzi do naruszenia ich interesu</w:t>
      </w:r>
      <w:r w:rsidR="00E17203" w:rsidRPr="0093113E">
        <w:rPr>
          <w:rFonts w:asciiTheme="minorHAnsi" w:hAnsiTheme="minorHAnsi" w:cstheme="minorHAnsi"/>
          <w:shd w:val="clear" w:color="auto" w:fill="FFFFFF"/>
        </w:rPr>
        <w:t xml:space="preserve">. Interes wierzycieli obligacyjnych jest zabezpieczony w ramach innego postępowania, nad którym pieczę sprawuje nadzorca, jak również sąd, tj. postępowania o zatwierdzenie układu. Postępowanie to – tak jak postępowanie egzekucyjne – jest postępowaniem sformalizowanym, prowadzonym przez jednostki państwowe, tym samym interes wierzycieli obligacyjnych jest należycie chroniony, w szczególności poprzez gwarancję pełnego zaspokojenia oraz ustalone ramy czasowe wykonania układu. </w:t>
      </w:r>
    </w:p>
    <w:p w14:paraId="6EF21F86" w14:textId="358EA08C" w:rsidR="00C34BBD" w:rsidRPr="0093113E" w:rsidRDefault="00C34BBD" w:rsidP="00A52BB2">
      <w:pPr>
        <w:pStyle w:val="Akapitzlist"/>
        <w:numPr>
          <w:ilvl w:val="0"/>
          <w:numId w:val="7"/>
        </w:numPr>
        <w:spacing w:after="0" w:line="360" w:lineRule="auto"/>
        <w:jc w:val="both"/>
        <w:rPr>
          <w:rFonts w:asciiTheme="minorHAnsi" w:hAnsiTheme="minorHAnsi" w:cstheme="minorHAnsi"/>
          <w:b/>
          <w:bCs/>
        </w:rPr>
      </w:pPr>
      <w:r w:rsidRPr="0093113E">
        <w:rPr>
          <w:rFonts w:asciiTheme="minorHAnsi" w:hAnsiTheme="minorHAnsi" w:cstheme="minorHAnsi"/>
          <w:shd w:val="clear" w:color="auto" w:fill="FFFFFF"/>
        </w:rPr>
        <w:t xml:space="preserve">Tymczasem Komornik Sądowy podjął </w:t>
      </w:r>
      <w:r w:rsidR="00DC664C">
        <w:rPr>
          <w:rFonts w:asciiTheme="minorHAnsi" w:hAnsiTheme="minorHAnsi" w:cstheme="minorHAnsi"/>
          <w:shd w:val="clear" w:color="auto" w:fill="FFFFFF"/>
        </w:rPr>
        <w:t>P</w:t>
      </w:r>
      <w:r w:rsidRPr="0093113E">
        <w:rPr>
          <w:rFonts w:asciiTheme="minorHAnsi" w:hAnsiTheme="minorHAnsi" w:cstheme="minorHAnsi"/>
          <w:shd w:val="clear" w:color="auto" w:fill="FFFFFF"/>
        </w:rPr>
        <w:t xml:space="preserve">ostępowanie </w:t>
      </w:r>
      <w:r w:rsidR="00DC664C">
        <w:rPr>
          <w:rFonts w:asciiTheme="minorHAnsi" w:hAnsiTheme="minorHAnsi" w:cstheme="minorHAnsi"/>
          <w:shd w:val="clear" w:color="auto" w:fill="FFFFFF"/>
        </w:rPr>
        <w:t>E</w:t>
      </w:r>
      <w:r w:rsidR="00953FDF" w:rsidRPr="0093113E">
        <w:rPr>
          <w:rFonts w:asciiTheme="minorHAnsi" w:hAnsiTheme="minorHAnsi" w:cstheme="minorHAnsi"/>
          <w:shd w:val="clear" w:color="auto" w:fill="FFFFFF"/>
        </w:rPr>
        <w:t>gzekucyjne</w:t>
      </w:r>
      <w:r w:rsidRPr="0093113E">
        <w:rPr>
          <w:rFonts w:asciiTheme="minorHAnsi" w:hAnsiTheme="minorHAnsi" w:cstheme="minorHAnsi"/>
          <w:shd w:val="clear" w:color="auto" w:fill="FFFFFF"/>
        </w:rPr>
        <w:t xml:space="preserve"> i dokonał czynności w postaci Obwieszczenia, w sytuacji, gdy postępowanie jest zawieszone z mocy prawa</w:t>
      </w:r>
      <w:r w:rsidR="00585014">
        <w:rPr>
          <w:rFonts w:asciiTheme="minorHAnsi" w:hAnsiTheme="minorHAnsi" w:cstheme="minorHAnsi"/>
          <w:shd w:val="clear" w:color="auto" w:fill="FFFFFF"/>
        </w:rPr>
        <w:t>, natomiast nie zaistniała żadna zmiana stanu faktycznego lub prawnego uzasadniająca podjęcie Postępowania Egzekucyjnego</w:t>
      </w:r>
      <w:r w:rsidRPr="0093113E">
        <w:rPr>
          <w:rFonts w:asciiTheme="minorHAnsi" w:hAnsiTheme="minorHAnsi" w:cstheme="minorHAnsi"/>
          <w:shd w:val="clear" w:color="auto" w:fill="FFFFFF"/>
        </w:rPr>
        <w:t>.</w:t>
      </w:r>
    </w:p>
    <w:p w14:paraId="19D3874C" w14:textId="62FA3FD4" w:rsidR="00C34BBD" w:rsidRPr="0093113E" w:rsidRDefault="00C34BBD" w:rsidP="00A52BB2">
      <w:pPr>
        <w:spacing w:after="0" w:line="360" w:lineRule="auto"/>
        <w:jc w:val="both"/>
        <w:rPr>
          <w:rFonts w:cstheme="minorHAnsi"/>
          <w:b/>
          <w:bCs/>
        </w:rPr>
      </w:pPr>
    </w:p>
    <w:p w14:paraId="3993D4E9" w14:textId="0BEB7AB8" w:rsidR="00E17203" w:rsidRPr="00AA46CD" w:rsidRDefault="00C34BBD" w:rsidP="00A52BB2">
      <w:pPr>
        <w:spacing w:after="0" w:line="360" w:lineRule="auto"/>
        <w:jc w:val="both"/>
        <w:rPr>
          <w:rFonts w:cstheme="minorHAnsi"/>
          <w:b/>
          <w:bCs/>
          <w:u w:val="single"/>
        </w:rPr>
      </w:pPr>
      <w:r w:rsidRPr="00AA46CD">
        <w:rPr>
          <w:rFonts w:cstheme="minorHAnsi"/>
          <w:b/>
          <w:bCs/>
          <w:u w:val="single"/>
        </w:rPr>
        <w:t>POSTANOWIENIE REFERENDARZA SĄDOWEGO</w:t>
      </w:r>
    </w:p>
    <w:p w14:paraId="1D484191" w14:textId="6C530F12" w:rsidR="00BF26C5" w:rsidRPr="0093113E" w:rsidRDefault="00953FDF"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Powyższy stan prawny nie uległ zmianie </w:t>
      </w:r>
      <w:r w:rsidR="00585014">
        <w:rPr>
          <w:rFonts w:asciiTheme="minorHAnsi" w:hAnsiTheme="minorHAnsi" w:cstheme="minorHAnsi"/>
        </w:rPr>
        <w:t xml:space="preserve">także </w:t>
      </w:r>
      <w:r w:rsidRPr="0093113E">
        <w:rPr>
          <w:rFonts w:asciiTheme="minorHAnsi" w:hAnsiTheme="minorHAnsi" w:cstheme="minorHAnsi"/>
        </w:rPr>
        <w:t xml:space="preserve">wskutek wydania </w:t>
      </w:r>
      <w:r w:rsidRPr="0093113E">
        <w:rPr>
          <w:rFonts w:asciiTheme="minorHAnsi" w:hAnsiTheme="minorHAnsi" w:cstheme="minorHAnsi"/>
          <w:b/>
          <w:bCs/>
        </w:rPr>
        <w:t>Postanowienia Referendarza Sądowego</w:t>
      </w:r>
      <w:r w:rsidRPr="0093113E">
        <w:rPr>
          <w:rFonts w:asciiTheme="minorHAnsi" w:hAnsiTheme="minorHAnsi" w:cstheme="minorHAnsi"/>
        </w:rPr>
        <w:t>, na mocy którego została uchylona część postanowienia Komornika Sądowego zawieszającego postępowanie egzekucyjne, a to z uwagi na okoliczność, że Postanowienie Referendarza Sądowego</w:t>
      </w:r>
      <w:r w:rsidR="00BF26C5" w:rsidRPr="0093113E">
        <w:rPr>
          <w:rFonts w:asciiTheme="minorHAnsi" w:hAnsiTheme="minorHAnsi" w:cstheme="minorHAnsi"/>
        </w:rPr>
        <w:t xml:space="preserve"> zostało przez Dłużnika zaskarżone i na moment Obwieszczenia nie jest prawomocne. </w:t>
      </w:r>
    </w:p>
    <w:p w14:paraId="5ABCC822" w14:textId="77777777" w:rsidR="00C74ADF" w:rsidRPr="0093113E" w:rsidRDefault="00C74ADF"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W doktrynie nie budzi wątpliwości, że skarga na orzeczenie referendarza sądowego ma charakter suspensywny i tym samym </w:t>
      </w:r>
      <w:r w:rsidRPr="00585014">
        <w:rPr>
          <w:rFonts w:asciiTheme="minorHAnsi" w:hAnsiTheme="minorHAnsi" w:cstheme="minorHAnsi"/>
          <w:b/>
          <w:bCs/>
        </w:rPr>
        <w:t>wstrzymuje uprawomocnienie się zaskarżonego orzeczenia</w:t>
      </w:r>
      <w:r w:rsidRPr="0093113E">
        <w:rPr>
          <w:rFonts w:asciiTheme="minorHAnsi" w:hAnsiTheme="minorHAnsi" w:cstheme="minorHAnsi"/>
        </w:rPr>
        <w:t>:</w:t>
      </w:r>
    </w:p>
    <w:p w14:paraId="1265189E" w14:textId="77777777" w:rsidR="00DB32FC" w:rsidRPr="0093113E" w:rsidRDefault="00DB32FC" w:rsidP="00A52BB2">
      <w:pPr>
        <w:pStyle w:val="Akapitzlist"/>
        <w:spacing w:after="0" w:line="360" w:lineRule="auto"/>
        <w:jc w:val="both"/>
        <w:rPr>
          <w:rFonts w:asciiTheme="minorHAnsi" w:hAnsiTheme="minorHAnsi" w:cstheme="minorHAnsi"/>
        </w:rPr>
      </w:pPr>
    </w:p>
    <w:p w14:paraId="46D32FEA" w14:textId="10DD3C75"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r w:rsidRPr="0093113E">
        <w:rPr>
          <w:rFonts w:asciiTheme="minorHAnsi" w:hAnsiTheme="minorHAnsi" w:cstheme="minorHAnsi"/>
        </w:rPr>
        <w:t xml:space="preserve"> „</w:t>
      </w:r>
      <w:r w:rsidRPr="0093113E">
        <w:rPr>
          <w:rFonts w:asciiTheme="minorHAnsi" w:hAnsiTheme="minorHAnsi" w:cstheme="minorHAnsi"/>
          <w:i/>
          <w:iCs/>
          <w:color w:val="333333"/>
          <w:shd w:val="clear" w:color="auto" w:fill="FFFFFF"/>
        </w:rPr>
        <w:t xml:space="preserve">Skarga na orzeczenie referendarza sądowego jest środkiem zaskarżenia, ale nie jest środkiem odwoławczym. Ma ona charakter suspensywny, </w:t>
      </w:r>
      <w:r w:rsidRPr="0093113E">
        <w:rPr>
          <w:rFonts w:asciiTheme="minorHAnsi" w:hAnsiTheme="minorHAnsi" w:cstheme="minorHAnsi"/>
          <w:b/>
          <w:bCs/>
          <w:i/>
          <w:iCs/>
          <w:color w:val="333333"/>
          <w:shd w:val="clear" w:color="auto" w:fill="FFFFFF"/>
        </w:rPr>
        <w:t>gdyż jej wniesienie wstrzymuje uprawomocnienie się zaskarżonego orzeczenia</w:t>
      </w:r>
      <w:r w:rsidRPr="0093113E">
        <w:rPr>
          <w:rFonts w:asciiTheme="minorHAnsi" w:hAnsiTheme="minorHAnsi" w:cstheme="minorHAnsi"/>
          <w:color w:val="333333"/>
          <w:shd w:val="clear" w:color="auto" w:fill="FFFFFF"/>
        </w:rPr>
        <w:t>”</w:t>
      </w:r>
      <w:r w:rsidRPr="0093113E">
        <w:rPr>
          <w:rStyle w:val="Odwoanieprzypisudolnego"/>
          <w:rFonts w:asciiTheme="minorHAnsi" w:hAnsiTheme="minorHAnsi" w:cstheme="minorHAnsi"/>
          <w:color w:val="333333"/>
          <w:shd w:val="clear" w:color="auto" w:fill="FFFFFF"/>
        </w:rPr>
        <w:footnoteReference w:id="7"/>
      </w:r>
      <w:r w:rsidRPr="0093113E">
        <w:rPr>
          <w:rFonts w:asciiTheme="minorHAnsi" w:hAnsiTheme="minorHAnsi" w:cstheme="minorHAnsi"/>
          <w:color w:val="333333"/>
          <w:shd w:val="clear" w:color="auto" w:fill="FFFFFF"/>
        </w:rPr>
        <w:t>;</w:t>
      </w:r>
    </w:p>
    <w:p w14:paraId="5602BE9C" w14:textId="425738DE"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p>
    <w:p w14:paraId="272D8074" w14:textId="63F97D80"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r w:rsidRPr="0093113E">
        <w:rPr>
          <w:rFonts w:asciiTheme="minorHAnsi" w:hAnsiTheme="minorHAnsi" w:cstheme="minorHAnsi"/>
          <w:color w:val="333333"/>
          <w:shd w:val="clear" w:color="auto" w:fill="FFFFFF"/>
        </w:rPr>
        <w:t>„</w:t>
      </w:r>
      <w:r w:rsidRPr="0093113E">
        <w:rPr>
          <w:rFonts w:asciiTheme="minorHAnsi" w:hAnsiTheme="minorHAnsi" w:cstheme="minorHAnsi"/>
          <w:i/>
          <w:iCs/>
          <w:color w:val="333333"/>
          <w:shd w:val="clear" w:color="auto" w:fill="FFFFFF"/>
        </w:rPr>
        <w:t>Skarga na postanowienie referendarza sądowego jest środkiem zaskarżenia szczególnym (</w:t>
      </w:r>
      <w:r w:rsidR="00DB32FC" w:rsidRPr="0093113E">
        <w:rPr>
          <w:rFonts w:asciiTheme="minorHAnsi" w:hAnsiTheme="minorHAnsi" w:cstheme="minorHAnsi"/>
          <w:i/>
          <w:iCs/>
          <w:color w:val="333333"/>
          <w:shd w:val="clear" w:color="auto" w:fill="FFFFFF"/>
        </w:rPr>
        <w:t>…</w:t>
      </w:r>
      <w:r w:rsidRPr="0093113E">
        <w:rPr>
          <w:rFonts w:asciiTheme="minorHAnsi" w:hAnsiTheme="minorHAnsi" w:cstheme="minorHAnsi"/>
          <w:i/>
          <w:iCs/>
          <w:color w:val="333333"/>
          <w:shd w:val="clear" w:color="auto" w:fill="FFFFFF"/>
        </w:rPr>
        <w:t xml:space="preserve">). W związku z tym środek ten nie cechuje się </w:t>
      </w:r>
      <w:proofErr w:type="spellStart"/>
      <w:r w:rsidRPr="0093113E">
        <w:rPr>
          <w:rFonts w:asciiTheme="minorHAnsi" w:hAnsiTheme="minorHAnsi" w:cstheme="minorHAnsi"/>
          <w:i/>
          <w:iCs/>
          <w:color w:val="333333"/>
          <w:shd w:val="clear" w:color="auto" w:fill="FFFFFF"/>
        </w:rPr>
        <w:t>dewolutywnością</w:t>
      </w:r>
      <w:proofErr w:type="spellEnd"/>
      <w:r w:rsidRPr="0093113E">
        <w:rPr>
          <w:rFonts w:asciiTheme="minorHAnsi" w:hAnsiTheme="minorHAnsi" w:cstheme="minorHAnsi"/>
          <w:i/>
          <w:iCs/>
          <w:color w:val="333333"/>
          <w:shd w:val="clear" w:color="auto" w:fill="FFFFFF"/>
        </w:rPr>
        <w:t xml:space="preserve">. Tak jak inne środki zaskarżenia </w:t>
      </w:r>
      <w:r w:rsidRPr="0093113E">
        <w:rPr>
          <w:rFonts w:asciiTheme="minorHAnsi" w:hAnsiTheme="minorHAnsi" w:cstheme="minorHAnsi"/>
          <w:i/>
          <w:iCs/>
          <w:color w:val="333333"/>
          <w:shd w:val="clear" w:color="auto" w:fill="FFFFFF"/>
        </w:rPr>
        <w:lastRenderedPageBreak/>
        <w:t xml:space="preserve">szczególne odznacza się suspensywnością, </w:t>
      </w:r>
      <w:r w:rsidRPr="0093113E">
        <w:rPr>
          <w:rFonts w:asciiTheme="minorHAnsi" w:hAnsiTheme="minorHAnsi" w:cstheme="minorHAnsi"/>
          <w:b/>
          <w:bCs/>
          <w:i/>
          <w:iCs/>
          <w:color w:val="333333"/>
          <w:shd w:val="clear" w:color="auto" w:fill="FFFFFF"/>
        </w:rPr>
        <w:t>polegającą na wstrzymaniu się uprawomocnienia się zaskarżonego orzeczenia</w:t>
      </w:r>
      <w:r w:rsidRPr="0093113E">
        <w:rPr>
          <w:rFonts w:asciiTheme="minorHAnsi" w:hAnsiTheme="minorHAnsi" w:cstheme="minorHAnsi"/>
          <w:color w:val="333333"/>
          <w:shd w:val="clear" w:color="auto" w:fill="FFFFFF"/>
        </w:rPr>
        <w:t>”</w:t>
      </w:r>
      <w:r w:rsidRPr="0093113E">
        <w:rPr>
          <w:rStyle w:val="Odwoanieprzypisudolnego"/>
          <w:rFonts w:asciiTheme="minorHAnsi" w:hAnsiTheme="minorHAnsi" w:cstheme="minorHAnsi"/>
          <w:color w:val="333333"/>
          <w:shd w:val="clear" w:color="auto" w:fill="FFFFFF"/>
        </w:rPr>
        <w:footnoteReference w:id="8"/>
      </w:r>
      <w:r w:rsidRPr="0093113E">
        <w:rPr>
          <w:rFonts w:asciiTheme="minorHAnsi" w:hAnsiTheme="minorHAnsi" w:cstheme="minorHAnsi"/>
          <w:color w:val="333333"/>
          <w:shd w:val="clear" w:color="auto" w:fill="FFFFFF"/>
        </w:rPr>
        <w:t>.</w:t>
      </w:r>
    </w:p>
    <w:p w14:paraId="755085CB" w14:textId="77777777" w:rsidR="00DB32FC" w:rsidRPr="0093113E" w:rsidRDefault="00DB32FC" w:rsidP="00A52BB2">
      <w:pPr>
        <w:pStyle w:val="Akapitzlist"/>
        <w:spacing w:after="0" w:line="360" w:lineRule="auto"/>
        <w:jc w:val="both"/>
        <w:rPr>
          <w:rFonts w:asciiTheme="minorHAnsi" w:hAnsiTheme="minorHAnsi" w:cstheme="minorHAnsi"/>
          <w:color w:val="333333"/>
          <w:shd w:val="clear" w:color="auto" w:fill="FFFFFF"/>
        </w:rPr>
      </w:pPr>
    </w:p>
    <w:p w14:paraId="0A22D88D" w14:textId="575A2427" w:rsidR="00DB32FC" w:rsidRPr="0093113E" w:rsidRDefault="00DB32FC"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color w:val="333333"/>
          <w:shd w:val="clear" w:color="auto" w:fill="FFFFFF"/>
        </w:rPr>
        <w:t>Z powyższego wynika, że Komornik Sądowy podjął arbitralnie i bez należytej podstawy prawnej decyzje o podjęciu postępowania egzekucyjnego, mimo trwającej podstawy zawieszenia tegoż postępowania</w:t>
      </w:r>
      <w:r w:rsidR="00585014">
        <w:rPr>
          <w:rFonts w:asciiTheme="minorHAnsi" w:hAnsiTheme="minorHAnsi" w:cstheme="minorHAnsi"/>
          <w:color w:val="333333"/>
          <w:shd w:val="clear" w:color="auto" w:fill="FFFFFF"/>
        </w:rPr>
        <w:t xml:space="preserve"> z mocy prawa</w:t>
      </w:r>
      <w:r w:rsidRPr="0093113E">
        <w:rPr>
          <w:rFonts w:asciiTheme="minorHAnsi" w:hAnsiTheme="minorHAnsi" w:cstheme="minorHAnsi"/>
          <w:color w:val="333333"/>
          <w:shd w:val="clear" w:color="auto" w:fill="FFFFFF"/>
        </w:rPr>
        <w:t xml:space="preserve">, jak również dokonał czynności, która może wywołać nieodwracalne skutki </w:t>
      </w:r>
      <w:r w:rsidR="00585014">
        <w:rPr>
          <w:rFonts w:asciiTheme="minorHAnsi" w:hAnsiTheme="minorHAnsi" w:cstheme="minorHAnsi"/>
          <w:color w:val="333333"/>
          <w:shd w:val="clear" w:color="auto" w:fill="FFFFFF"/>
        </w:rPr>
        <w:t>majątkowe dla Dłużnika i jego wierzycieli</w:t>
      </w:r>
      <w:r w:rsidRPr="0093113E">
        <w:rPr>
          <w:rFonts w:asciiTheme="minorHAnsi" w:hAnsiTheme="minorHAnsi" w:cstheme="minorHAnsi"/>
          <w:color w:val="333333"/>
          <w:shd w:val="clear" w:color="auto" w:fill="FFFFFF"/>
        </w:rPr>
        <w:t xml:space="preserve"> oraz zagrozić </w:t>
      </w:r>
      <w:r w:rsidR="00585014">
        <w:rPr>
          <w:rFonts w:asciiTheme="minorHAnsi" w:hAnsiTheme="minorHAnsi" w:cstheme="minorHAnsi"/>
          <w:color w:val="333333"/>
          <w:shd w:val="clear" w:color="auto" w:fill="FFFFFF"/>
        </w:rPr>
        <w:t xml:space="preserve">ich </w:t>
      </w:r>
      <w:r w:rsidRPr="0093113E">
        <w:rPr>
          <w:rFonts w:asciiTheme="minorHAnsi" w:hAnsiTheme="minorHAnsi" w:cstheme="minorHAnsi"/>
          <w:color w:val="333333"/>
          <w:shd w:val="clear" w:color="auto" w:fill="FFFFFF"/>
        </w:rPr>
        <w:t xml:space="preserve">interesom. </w:t>
      </w:r>
    </w:p>
    <w:p w14:paraId="7FD20271" w14:textId="77777777" w:rsidR="00E17203" w:rsidRPr="0093113E" w:rsidRDefault="00E17203" w:rsidP="00A52BB2">
      <w:pPr>
        <w:spacing w:after="0" w:line="360" w:lineRule="auto"/>
        <w:jc w:val="both"/>
        <w:rPr>
          <w:rFonts w:cstheme="minorHAnsi"/>
        </w:rPr>
      </w:pPr>
    </w:p>
    <w:p w14:paraId="48DFB630" w14:textId="1A1B4F11" w:rsidR="00E17203" w:rsidRPr="0093113E" w:rsidRDefault="00E17203" w:rsidP="0093113E">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Kwestie formalne</w:t>
      </w:r>
    </w:p>
    <w:p w14:paraId="495D3830" w14:textId="399EE971"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Właściwość tut. Sądu ustalono na podstawie art. </w:t>
      </w:r>
      <w:r w:rsidR="00585014">
        <w:rPr>
          <w:rFonts w:asciiTheme="minorHAnsi" w:hAnsiTheme="minorHAnsi" w:cstheme="minorHAnsi"/>
        </w:rPr>
        <w:t>767</w:t>
      </w:r>
      <w:r w:rsidRPr="0093113E">
        <w:rPr>
          <w:rFonts w:asciiTheme="minorHAnsi" w:hAnsiTheme="minorHAnsi" w:cstheme="minorHAnsi"/>
        </w:rPr>
        <w:t xml:space="preserve"> § </w:t>
      </w:r>
      <w:r w:rsidR="00585014">
        <w:rPr>
          <w:rFonts w:asciiTheme="minorHAnsi" w:hAnsiTheme="minorHAnsi" w:cstheme="minorHAnsi"/>
        </w:rPr>
        <w:t>1</w:t>
      </w:r>
      <w:r w:rsidRPr="0093113E">
        <w:rPr>
          <w:rFonts w:asciiTheme="minorHAnsi" w:hAnsiTheme="minorHAnsi" w:cstheme="minorHAnsi"/>
        </w:rPr>
        <w:t xml:space="preserve"> w zw. z art. 13 § 2 k.p.c., zgodnie z którymi skargę na </w:t>
      </w:r>
      <w:r w:rsidR="00585014">
        <w:rPr>
          <w:rFonts w:asciiTheme="minorHAnsi" w:hAnsiTheme="minorHAnsi" w:cstheme="minorHAnsi"/>
        </w:rPr>
        <w:t>czynności komornika</w:t>
      </w:r>
      <w:r w:rsidRPr="0093113E">
        <w:rPr>
          <w:rFonts w:asciiTheme="minorHAnsi" w:hAnsiTheme="minorHAnsi" w:cstheme="minorHAnsi"/>
        </w:rPr>
        <w:t xml:space="preserve"> wnosi się do sądu</w:t>
      </w:r>
      <w:r w:rsidR="00585014">
        <w:rPr>
          <w:rFonts w:asciiTheme="minorHAnsi" w:hAnsiTheme="minorHAnsi" w:cstheme="minorHAnsi"/>
        </w:rPr>
        <w:t xml:space="preserve"> rejonowego, właściwego ze względu na siedzibę kancelarii komorniczej</w:t>
      </w:r>
      <w:r w:rsidRPr="0093113E">
        <w:rPr>
          <w:rFonts w:asciiTheme="minorHAnsi" w:hAnsiTheme="minorHAnsi" w:cstheme="minorHAnsi"/>
        </w:rPr>
        <w:t>.</w:t>
      </w:r>
    </w:p>
    <w:p w14:paraId="184160BB" w14:textId="7C116F43"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Skarga została wniesiona w terminie. Zgodnie z treścią art. </w:t>
      </w:r>
      <w:r w:rsidR="00585014">
        <w:rPr>
          <w:rFonts w:asciiTheme="minorHAnsi" w:hAnsiTheme="minorHAnsi" w:cstheme="minorHAnsi"/>
        </w:rPr>
        <w:t>767</w:t>
      </w:r>
      <w:r w:rsidRPr="0093113E">
        <w:rPr>
          <w:rFonts w:asciiTheme="minorHAnsi" w:hAnsiTheme="minorHAnsi" w:cstheme="minorHAnsi"/>
        </w:rPr>
        <w:t xml:space="preserve"> § </w:t>
      </w:r>
      <w:r w:rsidR="00585014">
        <w:rPr>
          <w:rFonts w:asciiTheme="minorHAnsi" w:hAnsiTheme="minorHAnsi" w:cstheme="minorHAnsi"/>
        </w:rPr>
        <w:t>4</w:t>
      </w:r>
      <w:r w:rsidRPr="0093113E">
        <w:rPr>
          <w:rFonts w:asciiTheme="minorHAnsi" w:hAnsiTheme="minorHAnsi" w:cstheme="minorHAnsi"/>
        </w:rPr>
        <w:t xml:space="preserve"> w zw. z art. 13 § 2 </w:t>
      </w:r>
      <w:proofErr w:type="spellStart"/>
      <w:r w:rsidR="00585014">
        <w:rPr>
          <w:rFonts w:asciiTheme="minorHAnsi" w:hAnsiTheme="minorHAnsi" w:cstheme="minorHAnsi"/>
        </w:rPr>
        <w:t>k.p.c</w:t>
      </w:r>
      <w:proofErr w:type="spellEnd"/>
      <w:r w:rsidRPr="0093113E">
        <w:rPr>
          <w:rFonts w:asciiTheme="minorHAnsi" w:hAnsiTheme="minorHAnsi" w:cstheme="minorHAnsi"/>
        </w:rPr>
        <w:t xml:space="preserve"> skargę wnosi się w terminie tygodnia od dnia </w:t>
      </w:r>
      <w:r w:rsidR="00585014">
        <w:rPr>
          <w:rFonts w:asciiTheme="minorHAnsi" w:hAnsiTheme="minorHAnsi" w:cstheme="minorHAnsi"/>
        </w:rPr>
        <w:t xml:space="preserve">zawiadomienia strony o dokonaniu czynności, tj. od </w:t>
      </w:r>
      <w:r w:rsidR="00DC664C">
        <w:rPr>
          <w:rFonts w:asciiTheme="minorHAnsi" w:hAnsiTheme="minorHAnsi" w:cstheme="minorHAnsi"/>
        </w:rPr>
        <w:t>10</w:t>
      </w:r>
      <w:r w:rsidR="00585014">
        <w:rPr>
          <w:rFonts w:asciiTheme="minorHAnsi" w:hAnsiTheme="minorHAnsi" w:cstheme="minorHAnsi"/>
        </w:rPr>
        <w:t xml:space="preserve"> marca 2023 r</w:t>
      </w:r>
      <w:r w:rsidRPr="0093113E">
        <w:rPr>
          <w:rFonts w:asciiTheme="minorHAnsi" w:hAnsiTheme="minorHAnsi" w:cstheme="minorHAnsi"/>
        </w:rPr>
        <w:t>.</w:t>
      </w:r>
    </w:p>
    <w:p w14:paraId="1F28B0DD" w14:textId="4D2A2410"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Opłata została ustalona na podstawie art. 25 ust. 2 </w:t>
      </w:r>
      <w:proofErr w:type="spellStart"/>
      <w:r w:rsidRPr="0093113E">
        <w:rPr>
          <w:rFonts w:asciiTheme="minorHAnsi" w:hAnsiTheme="minorHAnsi" w:cstheme="minorHAnsi"/>
        </w:rPr>
        <w:t>u.k.s.c</w:t>
      </w:r>
      <w:proofErr w:type="spellEnd"/>
      <w:r w:rsidRPr="0093113E">
        <w:rPr>
          <w:rFonts w:asciiTheme="minorHAnsi" w:hAnsiTheme="minorHAnsi" w:cstheme="minorHAnsi"/>
        </w:rPr>
        <w:t xml:space="preserve">. Opłatę w wysokości 50 zł pobiera się od skargi na </w:t>
      </w:r>
      <w:r w:rsidR="00585014">
        <w:rPr>
          <w:rFonts w:asciiTheme="minorHAnsi" w:hAnsiTheme="minorHAnsi" w:cstheme="minorHAnsi"/>
        </w:rPr>
        <w:t>czynność komornika. W niniejszej sprawie – z ostrożności – zostało przyjęte, że komornik dokonał dwóch czynności, tj. podjęcia postępowania oraz obwieszczenia o licytacji. Komornik nie wydał formalnego postanowienia o podjęciu postępowania egzekucyjnego, jednakże należy przyjąć, że dokonanie obwieszczenia o licytacji, w sytuacji gdy postępowanie egzekucyjne było zawieszone, wymagało uprzedniego podjęcia postępowania. Stąd też Dłużnik uiścił opłatę w wysokości 100 zł</w:t>
      </w:r>
      <w:r w:rsidR="00DC664C">
        <w:rPr>
          <w:rFonts w:asciiTheme="minorHAnsi" w:hAnsiTheme="minorHAnsi" w:cstheme="minorHAnsi"/>
        </w:rPr>
        <w:t>, traktując powyższe działania jako dwie odrębne czynności Komornika Sądowego</w:t>
      </w:r>
      <w:r w:rsidR="00585014">
        <w:rPr>
          <w:rFonts w:asciiTheme="minorHAnsi" w:hAnsiTheme="minorHAnsi" w:cstheme="minorHAnsi"/>
        </w:rPr>
        <w:t>.</w:t>
      </w:r>
    </w:p>
    <w:p w14:paraId="7715DA56" w14:textId="75963162" w:rsidR="00E17203" w:rsidRDefault="00E17203" w:rsidP="00A52BB2">
      <w:pPr>
        <w:spacing w:after="0" w:line="360" w:lineRule="auto"/>
        <w:jc w:val="both"/>
        <w:rPr>
          <w:rFonts w:cstheme="minorHAnsi"/>
        </w:rPr>
      </w:pPr>
    </w:p>
    <w:p w14:paraId="5589EE5B" w14:textId="77777777" w:rsidR="00A10B17" w:rsidRPr="0093113E" w:rsidRDefault="00A10B17" w:rsidP="00A10B17">
      <w:pPr>
        <w:spacing w:after="0" w:line="360" w:lineRule="auto"/>
        <w:jc w:val="both"/>
        <w:rPr>
          <w:rFonts w:cstheme="minorHAnsi"/>
        </w:rPr>
      </w:pPr>
      <w:r w:rsidRPr="0093113E">
        <w:rPr>
          <w:rFonts w:cstheme="minorHAnsi"/>
        </w:rPr>
        <w:t xml:space="preserve">Z ostrożności procesowej oświadczam, że odpis niniejszego pisma został nadany przesyłką poleconą na adres pełnomocnika drugiej Strony. </w:t>
      </w:r>
    </w:p>
    <w:p w14:paraId="7DC7D07C" w14:textId="77777777" w:rsidR="00A10B17" w:rsidRDefault="00A10B17" w:rsidP="00A52BB2">
      <w:pPr>
        <w:spacing w:after="0" w:line="360" w:lineRule="auto"/>
        <w:jc w:val="both"/>
        <w:rPr>
          <w:rFonts w:cstheme="minorHAnsi"/>
        </w:rPr>
      </w:pPr>
    </w:p>
    <w:p w14:paraId="1C65FD18" w14:textId="372767D9" w:rsidR="00E17203" w:rsidRPr="0093113E" w:rsidRDefault="00E17203" w:rsidP="00A52BB2">
      <w:pPr>
        <w:spacing w:after="0" w:line="360" w:lineRule="auto"/>
        <w:jc w:val="both"/>
        <w:rPr>
          <w:rFonts w:cstheme="minorHAnsi"/>
          <w:i/>
          <w:iCs/>
        </w:rPr>
      </w:pPr>
      <w:r w:rsidRPr="0093113E">
        <w:rPr>
          <w:rFonts w:cstheme="minorHAnsi"/>
        </w:rPr>
        <w:t xml:space="preserve">Mając na uwadze powyższe, wobec oczywistej zasadności niniejszej skargi wnoszę jak </w:t>
      </w:r>
      <w:r w:rsidRPr="0093113E">
        <w:rPr>
          <w:rFonts w:cstheme="minorHAnsi"/>
          <w:i/>
          <w:iCs/>
        </w:rPr>
        <w:t xml:space="preserve">w petitum.  </w:t>
      </w:r>
    </w:p>
    <w:p w14:paraId="0FAB5245" w14:textId="77777777" w:rsidR="00E17203" w:rsidRPr="0093113E" w:rsidRDefault="00E17203" w:rsidP="00A52BB2">
      <w:pPr>
        <w:spacing w:after="0" w:line="360" w:lineRule="auto"/>
        <w:jc w:val="both"/>
        <w:rPr>
          <w:rFonts w:cstheme="minorHAnsi"/>
        </w:rPr>
      </w:pPr>
    </w:p>
    <w:p w14:paraId="3A7FDEA8" w14:textId="7FDBCC37" w:rsidR="00E17203" w:rsidRPr="0093113E" w:rsidRDefault="00E17203" w:rsidP="00A52BB2">
      <w:pPr>
        <w:spacing w:after="0" w:line="360" w:lineRule="auto"/>
        <w:jc w:val="both"/>
        <w:rPr>
          <w:rFonts w:cstheme="minorHAnsi"/>
        </w:rPr>
      </w:pPr>
      <w:r w:rsidRPr="0093113E">
        <w:rPr>
          <w:rFonts w:cstheme="minorHAnsi"/>
        </w:rPr>
        <w:t xml:space="preserve">Za </w:t>
      </w:r>
      <w:r w:rsidR="00585014">
        <w:rPr>
          <w:rFonts w:cstheme="minorHAnsi"/>
        </w:rPr>
        <w:t>Dłużnika</w:t>
      </w:r>
      <w:r w:rsidRPr="0093113E">
        <w:rPr>
          <w:rFonts w:cstheme="minorHAnsi"/>
        </w:rPr>
        <w:t xml:space="preserve"> – pełnomocnik </w:t>
      </w:r>
    </w:p>
    <w:p w14:paraId="15F3E441" w14:textId="77777777" w:rsidR="00E17203" w:rsidRPr="0093113E" w:rsidRDefault="00E17203" w:rsidP="00A52BB2">
      <w:pPr>
        <w:spacing w:after="0" w:line="360" w:lineRule="auto"/>
        <w:jc w:val="both"/>
        <w:rPr>
          <w:rFonts w:cstheme="minorHAnsi"/>
        </w:rPr>
      </w:pPr>
      <w:r w:rsidRPr="0093113E">
        <w:rPr>
          <w:rFonts w:cstheme="minorHAnsi"/>
        </w:rPr>
        <w:t>__________________________</w:t>
      </w:r>
    </w:p>
    <w:p w14:paraId="488845B0" w14:textId="77777777" w:rsidR="00E17203" w:rsidRPr="0093113E" w:rsidRDefault="00E17203" w:rsidP="00A52BB2">
      <w:pPr>
        <w:spacing w:after="0" w:line="360" w:lineRule="auto"/>
        <w:jc w:val="both"/>
        <w:rPr>
          <w:rFonts w:cstheme="minorHAnsi"/>
        </w:rPr>
      </w:pPr>
      <w:r w:rsidRPr="0093113E">
        <w:rPr>
          <w:rFonts w:cstheme="minorHAnsi"/>
        </w:rPr>
        <w:t>Adw. Bartosz Groele</w:t>
      </w:r>
    </w:p>
    <w:p w14:paraId="2EE653FE" w14:textId="77777777" w:rsidR="00E17203" w:rsidRPr="0093113E" w:rsidRDefault="00E17203" w:rsidP="00A52BB2">
      <w:pPr>
        <w:spacing w:after="0" w:line="360" w:lineRule="auto"/>
        <w:jc w:val="both"/>
        <w:rPr>
          <w:rFonts w:cstheme="minorHAnsi"/>
          <w:u w:val="single"/>
        </w:rPr>
      </w:pPr>
    </w:p>
    <w:p w14:paraId="57280EAC" w14:textId="77777777" w:rsidR="00E17203" w:rsidRPr="0093113E" w:rsidRDefault="00E17203" w:rsidP="00A52BB2">
      <w:pPr>
        <w:spacing w:after="0" w:line="360" w:lineRule="auto"/>
        <w:jc w:val="both"/>
        <w:rPr>
          <w:rFonts w:cstheme="minorHAnsi"/>
        </w:rPr>
      </w:pPr>
      <w:r w:rsidRPr="0093113E">
        <w:rPr>
          <w:rFonts w:cstheme="minorHAnsi"/>
        </w:rPr>
        <w:t xml:space="preserve">Załączniki: </w:t>
      </w:r>
    </w:p>
    <w:p w14:paraId="36C7B26E"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dowód uiszczenia opłaty sądowej;</w:t>
      </w:r>
    </w:p>
    <w:p w14:paraId="2614E68D"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pełnomocnictwo wraz z opłatą skarbową;</w:t>
      </w:r>
    </w:p>
    <w:p w14:paraId="764E2D78" w14:textId="74407BD1" w:rsidR="00585014" w:rsidRDefault="00585014" w:rsidP="00A52BB2">
      <w:pPr>
        <w:pStyle w:val="Akapitzlist"/>
        <w:numPr>
          <w:ilvl w:val="0"/>
          <w:numId w:val="9"/>
        </w:numPr>
        <w:spacing w:after="0" w:line="360" w:lineRule="auto"/>
        <w:jc w:val="both"/>
        <w:rPr>
          <w:rFonts w:asciiTheme="minorHAnsi" w:hAnsiTheme="minorHAnsi" w:cstheme="minorHAnsi"/>
        </w:rPr>
      </w:pPr>
      <w:r>
        <w:rPr>
          <w:rFonts w:asciiTheme="minorHAnsi" w:hAnsiTheme="minorHAnsi" w:cstheme="minorHAnsi"/>
        </w:rPr>
        <w:t>uchwała o powołaniu na Prezesa Zarządu Dłużnika – Pana Marka Łęckiego</w:t>
      </w:r>
      <w:r w:rsidR="00A10B17">
        <w:rPr>
          <w:rFonts w:asciiTheme="minorHAnsi" w:hAnsiTheme="minorHAnsi" w:cstheme="minorHAnsi"/>
        </w:rPr>
        <w:t>;</w:t>
      </w:r>
      <w:r>
        <w:rPr>
          <w:rFonts w:asciiTheme="minorHAnsi" w:hAnsiTheme="minorHAnsi" w:cstheme="minorHAnsi"/>
        </w:rPr>
        <w:t xml:space="preserve"> </w:t>
      </w:r>
    </w:p>
    <w:p w14:paraId="0ADD78BB" w14:textId="2E365B02"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obwieszczenie w Krajowym Rejestrze Zadłużonych o ustaleniu dnia układowego z dnia 20 października 2022 r.;</w:t>
      </w:r>
    </w:p>
    <w:p w14:paraId="16EFCE46"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odpis skargi.</w:t>
      </w:r>
    </w:p>
    <w:p w14:paraId="08C91CCA" w14:textId="77777777" w:rsidR="00E17203" w:rsidRPr="0093113E" w:rsidRDefault="00E17203" w:rsidP="00A52BB2">
      <w:pPr>
        <w:spacing w:after="0" w:line="360" w:lineRule="auto"/>
        <w:jc w:val="both"/>
        <w:rPr>
          <w:rFonts w:cstheme="minorHAnsi"/>
        </w:rPr>
      </w:pPr>
    </w:p>
    <w:p w14:paraId="72C9DA3A" w14:textId="44C5E033" w:rsidR="00021A49" w:rsidRPr="0093113E" w:rsidRDefault="00021A49" w:rsidP="00A52BB2">
      <w:pPr>
        <w:spacing w:after="0" w:line="360" w:lineRule="auto"/>
        <w:jc w:val="both"/>
        <w:rPr>
          <w:rFonts w:cstheme="minorHAnsi"/>
        </w:rPr>
      </w:pPr>
    </w:p>
    <w:p w14:paraId="7636EB8D" w14:textId="33F7770F" w:rsidR="00021A49" w:rsidRPr="0093113E" w:rsidRDefault="00021A49" w:rsidP="00A52BB2">
      <w:pPr>
        <w:spacing w:after="0" w:line="360" w:lineRule="auto"/>
        <w:jc w:val="both"/>
        <w:rPr>
          <w:rFonts w:cstheme="minorHAnsi"/>
        </w:rPr>
      </w:pPr>
    </w:p>
    <w:p w14:paraId="379F5796" w14:textId="76EFE6DC" w:rsidR="00021A49" w:rsidRPr="0093113E" w:rsidRDefault="00021A49" w:rsidP="00A52BB2">
      <w:pPr>
        <w:spacing w:after="0" w:line="360" w:lineRule="auto"/>
        <w:jc w:val="both"/>
        <w:rPr>
          <w:rFonts w:cstheme="minorHAnsi"/>
        </w:rPr>
      </w:pPr>
    </w:p>
    <w:p w14:paraId="6C78902A" w14:textId="683F7A0A" w:rsidR="00021A49" w:rsidRPr="0093113E" w:rsidRDefault="00021A49" w:rsidP="00A52BB2">
      <w:pPr>
        <w:spacing w:after="0" w:line="360" w:lineRule="auto"/>
        <w:jc w:val="both"/>
        <w:rPr>
          <w:rFonts w:cstheme="minorHAnsi"/>
        </w:rPr>
      </w:pPr>
    </w:p>
    <w:p w14:paraId="6639C94B" w14:textId="51EC1F28" w:rsidR="00021A49" w:rsidRPr="0093113E" w:rsidRDefault="00021A49" w:rsidP="00A52BB2">
      <w:pPr>
        <w:spacing w:after="0" w:line="360" w:lineRule="auto"/>
        <w:jc w:val="both"/>
        <w:rPr>
          <w:rFonts w:cstheme="minorHAnsi"/>
        </w:rPr>
      </w:pPr>
    </w:p>
    <w:p w14:paraId="6A74245C" w14:textId="04A3CDAB" w:rsidR="00021A49" w:rsidRPr="0093113E" w:rsidRDefault="00021A49" w:rsidP="00A52BB2">
      <w:pPr>
        <w:spacing w:after="0" w:line="360" w:lineRule="auto"/>
        <w:jc w:val="both"/>
        <w:rPr>
          <w:rFonts w:cstheme="minorHAnsi"/>
        </w:rPr>
      </w:pPr>
    </w:p>
    <w:p w14:paraId="1B15D059" w14:textId="2EE694CA" w:rsidR="00021A49" w:rsidRPr="0093113E" w:rsidRDefault="00021A49" w:rsidP="00A52BB2">
      <w:pPr>
        <w:spacing w:after="0" w:line="360" w:lineRule="auto"/>
        <w:jc w:val="both"/>
        <w:rPr>
          <w:rFonts w:cstheme="minorHAnsi"/>
        </w:rPr>
      </w:pPr>
    </w:p>
    <w:p w14:paraId="5EE6D489" w14:textId="58746CBA" w:rsidR="00021A49" w:rsidRPr="0093113E" w:rsidRDefault="00021A49" w:rsidP="00A52BB2">
      <w:pPr>
        <w:spacing w:after="0" w:line="360" w:lineRule="auto"/>
        <w:jc w:val="both"/>
        <w:rPr>
          <w:rFonts w:cstheme="minorHAnsi"/>
        </w:rPr>
      </w:pPr>
    </w:p>
    <w:p w14:paraId="057BF710" w14:textId="7FC1CBF8" w:rsidR="00021A49" w:rsidRPr="0093113E" w:rsidRDefault="00021A49" w:rsidP="00A52BB2">
      <w:pPr>
        <w:spacing w:after="0" w:line="360" w:lineRule="auto"/>
        <w:jc w:val="both"/>
        <w:rPr>
          <w:rFonts w:cstheme="minorHAnsi"/>
        </w:rPr>
      </w:pPr>
    </w:p>
    <w:p w14:paraId="48BADAE9" w14:textId="436CF330" w:rsidR="00021A49" w:rsidRPr="0093113E" w:rsidRDefault="00021A49" w:rsidP="00A52BB2">
      <w:pPr>
        <w:spacing w:after="0" w:line="360" w:lineRule="auto"/>
        <w:jc w:val="both"/>
        <w:rPr>
          <w:rFonts w:cstheme="minorHAnsi"/>
        </w:rPr>
      </w:pPr>
    </w:p>
    <w:p w14:paraId="45BA4A69" w14:textId="16C56D0C" w:rsidR="00021A49" w:rsidRPr="0093113E" w:rsidRDefault="00021A49" w:rsidP="00A52BB2">
      <w:pPr>
        <w:spacing w:after="0" w:line="360" w:lineRule="auto"/>
        <w:jc w:val="both"/>
        <w:rPr>
          <w:rFonts w:cstheme="minorHAnsi"/>
        </w:rPr>
      </w:pPr>
    </w:p>
    <w:p w14:paraId="2EF5231A" w14:textId="0D5069B3" w:rsidR="00021A49" w:rsidRPr="0093113E" w:rsidRDefault="00021A49" w:rsidP="00A52BB2">
      <w:pPr>
        <w:spacing w:after="0" w:line="360" w:lineRule="auto"/>
        <w:jc w:val="both"/>
        <w:rPr>
          <w:rFonts w:cstheme="minorHAnsi"/>
        </w:rPr>
      </w:pPr>
    </w:p>
    <w:p w14:paraId="60F3B5EB" w14:textId="0096D390" w:rsidR="00021A49" w:rsidRPr="0093113E" w:rsidRDefault="00021A49" w:rsidP="00A52BB2">
      <w:pPr>
        <w:spacing w:after="0" w:line="360" w:lineRule="auto"/>
        <w:jc w:val="both"/>
        <w:rPr>
          <w:rFonts w:cstheme="minorHAnsi"/>
        </w:rPr>
      </w:pPr>
    </w:p>
    <w:p w14:paraId="031469D4" w14:textId="77777777" w:rsidR="00F6407B" w:rsidRPr="0093113E" w:rsidRDefault="00F6407B" w:rsidP="00A52BB2">
      <w:pPr>
        <w:spacing w:after="0" w:line="360" w:lineRule="auto"/>
        <w:jc w:val="both"/>
        <w:rPr>
          <w:rFonts w:cstheme="minorHAnsi"/>
        </w:rPr>
      </w:pPr>
    </w:p>
    <w:p w14:paraId="412C8909" w14:textId="77777777" w:rsidR="00F6407B" w:rsidRPr="0093113E" w:rsidRDefault="00F6407B" w:rsidP="00A52BB2">
      <w:pPr>
        <w:spacing w:after="0" w:line="360" w:lineRule="auto"/>
        <w:jc w:val="both"/>
        <w:rPr>
          <w:rFonts w:cstheme="minorHAnsi"/>
        </w:rPr>
      </w:pPr>
    </w:p>
    <w:sectPr w:rsidR="00F6407B" w:rsidRPr="0093113E" w:rsidSect="00487318">
      <w:headerReference w:type="default" r:id="rId10"/>
      <w:footerReference w:type="default" r:id="rId11"/>
      <w:headerReference w:type="first" r:id="rId12"/>
      <w:footerReference w:type="first" r:id="rId13"/>
      <w:pgSz w:w="11906" w:h="16838"/>
      <w:pgMar w:top="555"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DAB8" w14:textId="77777777" w:rsidR="006103EF" w:rsidRDefault="006103EF" w:rsidP="00E70880">
      <w:pPr>
        <w:spacing w:after="0" w:line="240" w:lineRule="auto"/>
      </w:pPr>
      <w:r>
        <w:separator/>
      </w:r>
    </w:p>
  </w:endnote>
  <w:endnote w:type="continuationSeparator" w:id="0">
    <w:p w14:paraId="71A8F7F8" w14:textId="77777777" w:rsidR="006103EF" w:rsidRDefault="006103EF" w:rsidP="00E7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79291"/>
      <w:docPartObj>
        <w:docPartGallery w:val="Page Numbers (Bottom of Page)"/>
        <w:docPartUnique/>
      </w:docPartObj>
    </w:sdtPr>
    <w:sdtContent>
      <w:p w14:paraId="76CCC252" w14:textId="649594AD" w:rsidR="00021A49" w:rsidRDefault="00021A49">
        <w:pPr>
          <w:pStyle w:val="Stopka"/>
          <w:jc w:val="right"/>
        </w:pPr>
        <w:r>
          <w:fldChar w:fldCharType="begin"/>
        </w:r>
        <w:r>
          <w:instrText>PAGE   \* MERGEFORMAT</w:instrText>
        </w:r>
        <w:r>
          <w:fldChar w:fldCharType="separate"/>
        </w:r>
        <w:r>
          <w:t>2</w:t>
        </w:r>
        <w:r>
          <w:fldChar w:fldCharType="end"/>
        </w:r>
      </w:p>
    </w:sdtContent>
  </w:sdt>
  <w:p w14:paraId="62DB7EAA" w14:textId="77777777" w:rsidR="00021A49" w:rsidRDefault="00021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64735"/>
      <w:docPartObj>
        <w:docPartGallery w:val="Page Numbers (Bottom of Page)"/>
        <w:docPartUnique/>
      </w:docPartObj>
    </w:sdtPr>
    <w:sdtContent>
      <w:p w14:paraId="19971CBF" w14:textId="2911FA6A" w:rsidR="00021A49" w:rsidRDefault="00021A49">
        <w:pPr>
          <w:pStyle w:val="Stopka"/>
          <w:jc w:val="right"/>
        </w:pPr>
        <w:r>
          <w:fldChar w:fldCharType="begin"/>
        </w:r>
        <w:r>
          <w:instrText>PAGE   \* MERGEFORMAT</w:instrText>
        </w:r>
        <w:r>
          <w:fldChar w:fldCharType="separate"/>
        </w:r>
        <w:r>
          <w:t>2</w:t>
        </w:r>
        <w:r>
          <w:fldChar w:fldCharType="end"/>
        </w:r>
      </w:p>
    </w:sdtContent>
  </w:sdt>
  <w:p w14:paraId="1174264C" w14:textId="77777777" w:rsidR="00021A49" w:rsidRDefault="00021A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BE8D" w14:textId="77777777" w:rsidR="006103EF" w:rsidRDefault="006103EF" w:rsidP="00E70880">
      <w:pPr>
        <w:spacing w:after="0" w:line="240" w:lineRule="auto"/>
      </w:pPr>
      <w:r>
        <w:separator/>
      </w:r>
    </w:p>
  </w:footnote>
  <w:footnote w:type="continuationSeparator" w:id="0">
    <w:p w14:paraId="2004D5AB" w14:textId="77777777" w:rsidR="006103EF" w:rsidRDefault="006103EF" w:rsidP="00E70880">
      <w:pPr>
        <w:spacing w:after="0" w:line="240" w:lineRule="auto"/>
      </w:pPr>
      <w:r>
        <w:continuationSeparator/>
      </w:r>
    </w:p>
  </w:footnote>
  <w:footnote w:id="1">
    <w:p w14:paraId="32649B65" w14:textId="77777777" w:rsidR="00BF0202" w:rsidRDefault="00BF0202" w:rsidP="00BF0202">
      <w:pPr>
        <w:pStyle w:val="Tekstprzypisudolnego"/>
        <w:jc w:val="both"/>
      </w:pPr>
      <w:r>
        <w:rPr>
          <w:rStyle w:val="Odwoanieprzypisudolnego"/>
        </w:rPr>
        <w:footnoteRef/>
      </w:r>
      <w:r>
        <w:t xml:space="preserve"> </w:t>
      </w:r>
      <w:r w:rsidRPr="00B6422B">
        <w:rPr>
          <w:rStyle w:val="przypisZnak"/>
        </w:rPr>
        <w:t>Ustawa z dnia</w:t>
      </w:r>
      <w:r>
        <w:t xml:space="preserve"> 28 lipca 2005 roku o kosztach sądowych w sprawach cywilnych, Dz.U. z 2019 r., poz. 785 z </w:t>
      </w:r>
      <w:proofErr w:type="spellStart"/>
      <w:r>
        <w:t>późń</w:t>
      </w:r>
      <w:proofErr w:type="spellEnd"/>
      <w:r>
        <w:t>. zm. (dalej: „</w:t>
      </w:r>
      <w:proofErr w:type="spellStart"/>
      <w:r>
        <w:rPr>
          <w:b/>
          <w:u w:val="single"/>
        </w:rPr>
        <w:t>u.k.s.c</w:t>
      </w:r>
      <w:proofErr w:type="spellEnd"/>
      <w:r>
        <w:rPr>
          <w:b/>
          <w:u w:val="single"/>
        </w:rPr>
        <w:t>.</w:t>
      </w:r>
      <w:r>
        <w:t>”).</w:t>
      </w:r>
    </w:p>
  </w:footnote>
  <w:footnote w:id="2">
    <w:p w14:paraId="26621E31"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P. Zimmerman, </w:t>
      </w:r>
      <w:r w:rsidRPr="00C46981">
        <w:rPr>
          <w:rFonts w:asciiTheme="minorHAnsi" w:hAnsiTheme="minorHAnsi" w:cstheme="minorHAnsi"/>
          <w:i/>
          <w:iCs/>
        </w:rPr>
        <w:t>Prawo upadłościowe. Prawo restrukturyzacyjne. Komentarz</w:t>
      </w:r>
      <w:r w:rsidRPr="00C46981">
        <w:rPr>
          <w:rFonts w:asciiTheme="minorHAnsi" w:hAnsiTheme="minorHAnsi" w:cstheme="minorHAnsi"/>
        </w:rPr>
        <w:t xml:space="preserve">, wyd. 7, Warszawa 2022, </w:t>
      </w:r>
      <w:proofErr w:type="spellStart"/>
      <w:r w:rsidRPr="00C46981">
        <w:rPr>
          <w:rFonts w:asciiTheme="minorHAnsi" w:hAnsiTheme="minorHAnsi" w:cstheme="minorHAnsi"/>
        </w:rPr>
        <w:t>Legalis</w:t>
      </w:r>
      <w:proofErr w:type="spellEnd"/>
      <w:r w:rsidRPr="00C46981">
        <w:rPr>
          <w:rFonts w:asciiTheme="minorHAnsi" w:hAnsiTheme="minorHAnsi" w:cstheme="minorHAnsi"/>
        </w:rPr>
        <w:t xml:space="preserve">, komentarz do art. 226e; N. Frosztęga, </w:t>
      </w:r>
      <w:r w:rsidRPr="00C46981">
        <w:rPr>
          <w:rFonts w:asciiTheme="minorHAnsi" w:hAnsiTheme="minorHAnsi" w:cstheme="minorHAnsi"/>
          <w:i/>
          <w:iCs/>
        </w:rPr>
        <w:t>Postępowanie o zatwierdzenie układu 2.0 – zagadnienia wybrane</w:t>
      </w:r>
      <w:r w:rsidRPr="00C46981">
        <w:rPr>
          <w:rFonts w:asciiTheme="minorHAnsi" w:hAnsiTheme="minorHAnsi" w:cstheme="minorHAnsi"/>
        </w:rPr>
        <w:t xml:space="preserve">, Doradca Restrukturyzacyjny 2022, nr 1, s. 53. </w:t>
      </w:r>
    </w:p>
  </w:footnote>
  <w:footnote w:id="3">
    <w:p w14:paraId="1D2D091B"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S. Gurgul, </w:t>
      </w:r>
      <w:r w:rsidRPr="00C46981">
        <w:rPr>
          <w:rFonts w:asciiTheme="minorHAnsi" w:hAnsiTheme="minorHAnsi" w:cstheme="minorHAnsi"/>
          <w:i/>
          <w:iCs/>
        </w:rPr>
        <w:t>Prawo restrukturyzacyjne</w:t>
      </w:r>
      <w:r w:rsidRPr="00C46981">
        <w:rPr>
          <w:rFonts w:asciiTheme="minorHAnsi" w:hAnsiTheme="minorHAnsi" w:cstheme="minorHAnsi"/>
        </w:rPr>
        <w:t>, w</w:t>
      </w:r>
      <w:r w:rsidRPr="00C46981">
        <w:rPr>
          <w:rFonts w:asciiTheme="minorHAnsi" w:hAnsiTheme="minorHAnsi" w:cstheme="minorHAnsi"/>
          <w:i/>
          <w:iCs/>
        </w:rPr>
        <w:t>: Prawo upadłościowe. Prawo restrukturyzacyjne. Komentarz</w:t>
      </w:r>
      <w:r w:rsidRPr="00C46981">
        <w:rPr>
          <w:rFonts w:asciiTheme="minorHAnsi" w:hAnsiTheme="minorHAnsi" w:cstheme="minorHAnsi"/>
        </w:rPr>
        <w:t xml:space="preserve">, Komentarz do art. 312 </w:t>
      </w:r>
      <w:proofErr w:type="spellStart"/>
      <w:r w:rsidRPr="00C46981">
        <w:rPr>
          <w:rFonts w:asciiTheme="minorHAnsi" w:hAnsiTheme="minorHAnsi" w:cstheme="minorHAnsi"/>
        </w:rPr>
        <w:t>p.r.</w:t>
      </w:r>
      <w:proofErr w:type="spellEnd"/>
      <w:r w:rsidRPr="00C46981">
        <w:rPr>
          <w:rFonts w:asciiTheme="minorHAnsi" w:hAnsiTheme="minorHAnsi" w:cstheme="minorHAnsi"/>
        </w:rPr>
        <w:t>, Wyd. 11, Warszawa 2018.</w:t>
      </w:r>
    </w:p>
  </w:footnote>
  <w:footnote w:id="4">
    <w:p w14:paraId="63C31956"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w:t>
      </w:r>
      <w:r w:rsidRPr="00C46981">
        <w:rPr>
          <w:rFonts w:asciiTheme="minorHAnsi" w:hAnsiTheme="minorHAnsi" w:cstheme="minorHAnsi"/>
          <w:i/>
          <w:iCs/>
          <w:shd w:val="clear" w:color="auto" w:fill="FFFFFF"/>
        </w:rPr>
        <w:t>K. Ochocińska,</w:t>
      </w:r>
      <w:r w:rsidRPr="00C46981">
        <w:rPr>
          <w:rFonts w:asciiTheme="minorHAnsi" w:hAnsiTheme="minorHAnsi" w:cstheme="minorHAnsi"/>
        </w:rPr>
        <w:t xml:space="preserve"> </w:t>
      </w:r>
      <w:r w:rsidRPr="00C46981">
        <w:rPr>
          <w:rFonts w:asciiTheme="minorHAnsi" w:hAnsiTheme="minorHAnsi" w:cstheme="minorHAnsi"/>
          <w:i/>
          <w:iCs/>
        </w:rPr>
        <w:t>Wpływ postępowania o zatwierdzenie układu z obwieszczeniem na postępowania egzekucyjne</w:t>
      </w:r>
      <w:r w:rsidRPr="00C46981">
        <w:rPr>
          <w:rFonts w:asciiTheme="minorHAnsi" w:hAnsiTheme="minorHAnsi" w:cstheme="minorHAnsi"/>
          <w:i/>
          <w:iCs/>
          <w:shd w:val="clear" w:color="auto" w:fill="FFFFFF"/>
        </w:rPr>
        <w:t xml:space="preserve">, </w:t>
      </w:r>
      <w:r w:rsidRPr="00C46981">
        <w:rPr>
          <w:rFonts w:asciiTheme="minorHAnsi" w:hAnsiTheme="minorHAnsi" w:cstheme="minorHAnsi"/>
          <w:shd w:val="clear" w:color="auto" w:fill="FFFFFF"/>
        </w:rPr>
        <w:t>PPE 2022, Nr 6.</w:t>
      </w:r>
    </w:p>
  </w:footnote>
  <w:footnote w:id="5">
    <w:p w14:paraId="4EAFF1DA"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w:t>
      </w:r>
      <w:r w:rsidRPr="00C46981">
        <w:rPr>
          <w:rFonts w:asciiTheme="minorHAnsi" w:hAnsiTheme="minorHAnsi" w:cstheme="minorHAnsi"/>
          <w:i/>
          <w:iCs/>
          <w:shd w:val="clear" w:color="auto" w:fill="FFFFFF"/>
        </w:rPr>
        <w:t>K. Ochocińska,</w:t>
      </w:r>
      <w:r w:rsidRPr="00C46981">
        <w:rPr>
          <w:rFonts w:asciiTheme="minorHAnsi" w:hAnsiTheme="minorHAnsi" w:cstheme="minorHAnsi"/>
        </w:rPr>
        <w:t xml:space="preserve"> </w:t>
      </w:r>
      <w:r w:rsidRPr="00C46981">
        <w:rPr>
          <w:rFonts w:asciiTheme="minorHAnsi" w:hAnsiTheme="minorHAnsi" w:cstheme="minorHAnsi"/>
          <w:i/>
          <w:iCs/>
        </w:rPr>
        <w:t>Wpływ postępowania o zatwierdzenie układu z obwieszczeniem na postępowania egzekucyjne</w:t>
      </w:r>
      <w:r w:rsidRPr="00C46981">
        <w:rPr>
          <w:rFonts w:asciiTheme="minorHAnsi" w:hAnsiTheme="minorHAnsi" w:cstheme="minorHAnsi"/>
          <w:i/>
          <w:iCs/>
          <w:shd w:val="clear" w:color="auto" w:fill="FFFFFF"/>
        </w:rPr>
        <w:t xml:space="preserve">, </w:t>
      </w:r>
      <w:r w:rsidRPr="00C46981">
        <w:rPr>
          <w:rFonts w:asciiTheme="minorHAnsi" w:hAnsiTheme="minorHAnsi" w:cstheme="minorHAnsi"/>
          <w:shd w:val="clear" w:color="auto" w:fill="FFFFFF"/>
        </w:rPr>
        <w:t>PPE 2022, Nr 6.</w:t>
      </w:r>
    </w:p>
  </w:footnote>
  <w:footnote w:id="6">
    <w:p w14:paraId="4EDE0A77"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R. Kosmal, D. Kwiatkowski, </w:t>
      </w:r>
      <w:r w:rsidRPr="00C46981">
        <w:rPr>
          <w:rFonts w:asciiTheme="minorHAnsi" w:hAnsiTheme="minorHAnsi" w:cstheme="minorHAnsi"/>
          <w:i/>
          <w:iCs/>
        </w:rPr>
        <w:t>Prawo restrukturyzacyjne</w:t>
      </w:r>
      <w:r>
        <w:rPr>
          <w:rFonts w:asciiTheme="minorHAnsi" w:hAnsiTheme="minorHAnsi" w:cstheme="minorHAnsi"/>
        </w:rPr>
        <w:t xml:space="preserve">. </w:t>
      </w:r>
      <w:r w:rsidRPr="00C46981">
        <w:rPr>
          <w:rFonts w:asciiTheme="minorHAnsi" w:hAnsiTheme="minorHAnsi" w:cstheme="minorHAnsi"/>
          <w:i/>
          <w:iCs/>
        </w:rPr>
        <w:t>Komentarz</w:t>
      </w:r>
      <w:r w:rsidRPr="00C46981">
        <w:rPr>
          <w:rFonts w:asciiTheme="minorHAnsi" w:hAnsiTheme="minorHAnsi" w:cstheme="minorHAnsi"/>
        </w:rPr>
        <w:t xml:space="preserve">, komentarz do art. 312 </w:t>
      </w:r>
      <w:proofErr w:type="spellStart"/>
      <w:r w:rsidRPr="00C46981">
        <w:rPr>
          <w:rFonts w:asciiTheme="minorHAnsi" w:hAnsiTheme="minorHAnsi" w:cstheme="minorHAnsi"/>
        </w:rPr>
        <w:t>p.r.</w:t>
      </w:r>
      <w:proofErr w:type="spellEnd"/>
      <w:r w:rsidRPr="00C46981">
        <w:rPr>
          <w:rFonts w:asciiTheme="minorHAnsi" w:hAnsiTheme="minorHAnsi" w:cstheme="minorHAnsi"/>
        </w:rPr>
        <w:t>, WKP 2022.</w:t>
      </w:r>
    </w:p>
  </w:footnote>
  <w:footnote w:id="7">
    <w:p w14:paraId="18DBF427" w14:textId="7164035C" w:rsidR="00C74ADF" w:rsidRDefault="00C74ADF">
      <w:pPr>
        <w:pStyle w:val="Tekstprzypisudolnego"/>
      </w:pPr>
      <w:r>
        <w:rPr>
          <w:rStyle w:val="Odwoanieprzypisudolnego"/>
        </w:rPr>
        <w:footnoteRef/>
      </w:r>
      <w:r>
        <w:t xml:space="preserve"> Zob. </w:t>
      </w:r>
      <w:r w:rsidRPr="00C74ADF">
        <w:t>A. Arkuszewska, w: Zembrzuski</w:t>
      </w:r>
      <w:r>
        <w:t xml:space="preserve"> (red.)</w:t>
      </w:r>
      <w:r w:rsidRPr="00C74ADF">
        <w:t xml:space="preserve">, </w:t>
      </w:r>
      <w:r w:rsidRPr="00C74ADF">
        <w:rPr>
          <w:i/>
          <w:iCs/>
        </w:rPr>
        <w:t>Komentarz KPC</w:t>
      </w:r>
      <w:r w:rsidRPr="00C74ADF">
        <w:t>, t. I, s. 969.</w:t>
      </w:r>
    </w:p>
  </w:footnote>
  <w:footnote w:id="8">
    <w:p w14:paraId="0B9A33F6" w14:textId="16D46AD8" w:rsidR="00C74ADF" w:rsidRPr="00C74ADF" w:rsidRDefault="00C74ADF">
      <w:pPr>
        <w:pStyle w:val="Tekstprzypisudolnego"/>
        <w:rPr>
          <w:rFonts w:asciiTheme="minorHAnsi" w:hAnsiTheme="minorHAnsi" w:cstheme="minorHAnsi"/>
        </w:rPr>
      </w:pPr>
      <w:r>
        <w:rPr>
          <w:rStyle w:val="Odwoanieprzypisudolnego"/>
        </w:rPr>
        <w:footnoteRef/>
      </w:r>
      <w:r>
        <w:t xml:space="preserve"> A. Cudak, w: A. Marciniak (red.), </w:t>
      </w:r>
      <w:hyperlink r:id="rId1" w:history="1">
        <w:r w:rsidRPr="00C74ADF">
          <w:rPr>
            <w:rStyle w:val="Hipercze"/>
            <w:rFonts w:asciiTheme="minorHAnsi" w:hAnsiTheme="minorHAnsi" w:cstheme="minorHAnsi"/>
            <w:i/>
            <w:iCs/>
            <w:color w:val="000000"/>
            <w:u w:val="none"/>
            <w:shd w:val="clear" w:color="auto" w:fill="FFFFFF"/>
          </w:rPr>
          <w:t>Kodeks postępowania cywilnego. Tom I–V. Komentarz</w:t>
        </w:r>
      </w:hyperlink>
      <w:r w:rsidRPr="00C74ADF">
        <w:rPr>
          <w:rFonts w:asciiTheme="minorHAnsi" w:hAnsiTheme="minorHAnsi" w:cstheme="minorHAnsi"/>
        </w:rPr>
        <w:t>, Warszawa 2020, komentarz do art., 767</w:t>
      </w:r>
      <w:r w:rsidRPr="00C74ADF">
        <w:rPr>
          <w:rFonts w:asciiTheme="minorHAnsi" w:hAnsiTheme="minorHAnsi" w:cstheme="minorHAnsi"/>
          <w:vertAlign w:val="superscript"/>
        </w:rPr>
        <w:t>3a</w:t>
      </w:r>
      <w:r w:rsidRPr="00C74ADF">
        <w:rPr>
          <w:rFonts w:asciiTheme="minorHAnsi" w:hAnsiTheme="minorHAnsi" w:cstheme="minorHAnsi"/>
        </w:rPr>
        <w:t xml:space="preserve"> </w:t>
      </w:r>
      <w:proofErr w:type="spellStart"/>
      <w:r w:rsidRPr="00C74ADF">
        <w:rPr>
          <w:rFonts w:asciiTheme="minorHAnsi" w:hAnsiTheme="minorHAnsi" w:cstheme="minorHAnsi"/>
        </w:rPr>
        <w:t>kpc</w:t>
      </w:r>
      <w:proofErr w:type="spellEnd"/>
      <w:r w:rsidRPr="00C74ADF">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3D32" w14:textId="5997D447" w:rsidR="00F6407B" w:rsidRDefault="00DF5F43" w:rsidP="00DF5F43">
    <w:pPr>
      <w:pStyle w:val="Nagwek"/>
      <w:jc w:val="center"/>
    </w:pPr>
    <w:r>
      <w:rPr>
        <w:noProof/>
      </w:rPr>
      <w:drawing>
        <wp:inline distT="0" distB="0" distL="0" distR="0" wp14:anchorId="0BE89E0C" wp14:editId="00F8687A">
          <wp:extent cx="723569" cy="723569"/>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69" cy="730669"/>
                  </a:xfrm>
                  <a:prstGeom prst="rect">
                    <a:avLst/>
                  </a:prstGeom>
                  <a:noFill/>
                  <a:ln>
                    <a:noFill/>
                  </a:ln>
                </pic:spPr>
              </pic:pic>
            </a:graphicData>
          </a:graphic>
        </wp:inline>
      </w:drawing>
    </w:r>
  </w:p>
  <w:p w14:paraId="4AE4A6C4" w14:textId="77777777" w:rsidR="00F6407B" w:rsidRDefault="00F640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C6D" w14:textId="50499878" w:rsidR="00F6407B" w:rsidRDefault="00F6407B">
    <w:pPr>
      <w:pStyle w:val="Nagwek"/>
    </w:pPr>
    <w:r>
      <w:tab/>
    </w:r>
    <w:r w:rsidR="00487318">
      <w:rPr>
        <w:noProof/>
      </w:rPr>
      <w:drawing>
        <wp:inline distT="0" distB="0" distL="0" distR="0" wp14:anchorId="326B057E" wp14:editId="51DF1F6C">
          <wp:extent cx="3525743" cy="1292773"/>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556618" cy="1304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04F"/>
    <w:multiLevelType w:val="hybridMultilevel"/>
    <w:tmpl w:val="0E925B70"/>
    <w:lvl w:ilvl="0" w:tplc="BDC0F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F3C55"/>
    <w:multiLevelType w:val="hybridMultilevel"/>
    <w:tmpl w:val="4CFE1B1A"/>
    <w:lvl w:ilvl="0" w:tplc="A00A069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B6CF7"/>
    <w:multiLevelType w:val="hybridMultilevel"/>
    <w:tmpl w:val="2772A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A30037"/>
    <w:multiLevelType w:val="hybridMultilevel"/>
    <w:tmpl w:val="928A3B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7E466A0"/>
    <w:multiLevelType w:val="hybridMultilevel"/>
    <w:tmpl w:val="DDDE4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CC7879"/>
    <w:multiLevelType w:val="hybridMultilevel"/>
    <w:tmpl w:val="CB54C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B256FF"/>
    <w:multiLevelType w:val="hybridMultilevel"/>
    <w:tmpl w:val="C0BA2D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4B4357"/>
    <w:multiLevelType w:val="hybridMultilevel"/>
    <w:tmpl w:val="9EBCFBB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F5DC8"/>
    <w:multiLevelType w:val="hybridMultilevel"/>
    <w:tmpl w:val="9EBCFBB2"/>
    <w:lvl w:ilvl="0" w:tplc="A9CEF16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F336FF"/>
    <w:multiLevelType w:val="hybridMultilevel"/>
    <w:tmpl w:val="914C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197C2D"/>
    <w:multiLevelType w:val="hybridMultilevel"/>
    <w:tmpl w:val="6DB064D8"/>
    <w:lvl w:ilvl="0" w:tplc="495A9824">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87476722">
    <w:abstractNumId w:val="10"/>
  </w:num>
  <w:num w:numId="2" w16cid:durableId="1264453845">
    <w:abstractNumId w:val="5"/>
  </w:num>
  <w:num w:numId="3" w16cid:durableId="313678470">
    <w:abstractNumId w:val="6"/>
  </w:num>
  <w:num w:numId="4" w16cid:durableId="1821725311">
    <w:abstractNumId w:val="2"/>
  </w:num>
  <w:num w:numId="5" w16cid:durableId="408041819">
    <w:abstractNumId w:val="0"/>
  </w:num>
  <w:num w:numId="6" w16cid:durableId="634867769">
    <w:abstractNumId w:val="1"/>
  </w:num>
  <w:num w:numId="7" w16cid:durableId="1509247228">
    <w:abstractNumId w:val="8"/>
  </w:num>
  <w:num w:numId="8" w16cid:durableId="1019745932">
    <w:abstractNumId w:val="7"/>
  </w:num>
  <w:num w:numId="9" w16cid:durableId="809906747">
    <w:abstractNumId w:val="4"/>
  </w:num>
  <w:num w:numId="10" w16cid:durableId="1061832975">
    <w:abstractNumId w:val="9"/>
  </w:num>
  <w:num w:numId="11" w16cid:durableId="50135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0"/>
    <w:rsid w:val="00021A49"/>
    <w:rsid w:val="00046698"/>
    <w:rsid w:val="000515B5"/>
    <w:rsid w:val="000531BD"/>
    <w:rsid w:val="002769F5"/>
    <w:rsid w:val="003856E7"/>
    <w:rsid w:val="003C0DD4"/>
    <w:rsid w:val="003D7A8C"/>
    <w:rsid w:val="00440E86"/>
    <w:rsid w:val="00454FBD"/>
    <w:rsid w:val="00455601"/>
    <w:rsid w:val="00487318"/>
    <w:rsid w:val="004B4E34"/>
    <w:rsid w:val="00585014"/>
    <w:rsid w:val="005C4F9C"/>
    <w:rsid w:val="005C63A1"/>
    <w:rsid w:val="006103EF"/>
    <w:rsid w:val="006639A5"/>
    <w:rsid w:val="00725AED"/>
    <w:rsid w:val="0077667D"/>
    <w:rsid w:val="007D0CE3"/>
    <w:rsid w:val="007D70A9"/>
    <w:rsid w:val="00847850"/>
    <w:rsid w:val="0093113E"/>
    <w:rsid w:val="00937C6F"/>
    <w:rsid w:val="00953FDF"/>
    <w:rsid w:val="00961197"/>
    <w:rsid w:val="00A10B17"/>
    <w:rsid w:val="00A206DE"/>
    <w:rsid w:val="00A52BB2"/>
    <w:rsid w:val="00A91FBF"/>
    <w:rsid w:val="00AA46CD"/>
    <w:rsid w:val="00AD0915"/>
    <w:rsid w:val="00B23A02"/>
    <w:rsid w:val="00BF0202"/>
    <w:rsid w:val="00BF26C5"/>
    <w:rsid w:val="00C34BBD"/>
    <w:rsid w:val="00C37BD7"/>
    <w:rsid w:val="00C74ADF"/>
    <w:rsid w:val="00C90B9C"/>
    <w:rsid w:val="00D05194"/>
    <w:rsid w:val="00DB32FC"/>
    <w:rsid w:val="00DC664C"/>
    <w:rsid w:val="00DF5F43"/>
    <w:rsid w:val="00E17203"/>
    <w:rsid w:val="00E70880"/>
    <w:rsid w:val="00E932A8"/>
    <w:rsid w:val="00F64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D449"/>
  <w15:docId w15:val="{7990AB4B-71A4-4F0E-9CF2-109EC33C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63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08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880"/>
  </w:style>
  <w:style w:type="paragraph" w:styleId="Stopka">
    <w:name w:val="footer"/>
    <w:basedOn w:val="Normalny"/>
    <w:link w:val="StopkaZnak"/>
    <w:uiPriority w:val="99"/>
    <w:unhideWhenUsed/>
    <w:rsid w:val="00E708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80"/>
  </w:style>
  <w:style w:type="paragraph" w:styleId="Tekstdymka">
    <w:name w:val="Balloon Text"/>
    <w:basedOn w:val="Normalny"/>
    <w:link w:val="TekstdymkaZnak"/>
    <w:uiPriority w:val="99"/>
    <w:semiHidden/>
    <w:unhideWhenUsed/>
    <w:rsid w:val="00E708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0880"/>
    <w:rPr>
      <w:rFonts w:ascii="Tahoma" w:hAnsi="Tahoma" w:cs="Tahoma"/>
      <w:sz w:val="16"/>
      <w:szCs w:val="16"/>
    </w:rPr>
  </w:style>
  <w:style w:type="paragraph" w:styleId="Akapitzlist">
    <w:name w:val="List Paragraph"/>
    <w:basedOn w:val="Normalny"/>
    <w:uiPriority w:val="34"/>
    <w:qFormat/>
    <w:rsid w:val="00BF0202"/>
    <w:pPr>
      <w:ind w:left="720"/>
      <w:contextualSpacing/>
    </w:pPr>
    <w:rPr>
      <w:rFonts w:ascii="Calibri" w:eastAsia="Calibri" w:hAnsi="Calibri" w:cs="Times New Roman"/>
    </w:rPr>
  </w:style>
  <w:style w:type="paragraph" w:styleId="Tekstprzypisudolnego">
    <w:name w:val="footnote text"/>
    <w:aliases w:val="fn,Footnote Text Char Znak Znak Znak Znak,Footnote Text Char Znak,Footnote Text Char Char Char,Footnote Text Char Char Char Char Char Znak Znak Znak Znak Znak,Footnote Text Char Char Char Char Char,fn Char Char,Car,FA,o"/>
    <w:basedOn w:val="Normalny"/>
    <w:link w:val="TekstprzypisudolnegoZnak"/>
    <w:uiPriority w:val="99"/>
    <w:unhideWhenUsed/>
    <w:rsid w:val="00BF0202"/>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n Znak,Footnote Text Char Znak Znak Znak Znak Znak,Footnote Text Char Znak Znak,Footnote Text Char Char Char Znak,Footnote Text Char Char Char Char Char Znak Znak Znak Znak Znak Znak,fn Char Char Znak,Car Znak,FA Znak,o Znak"/>
    <w:basedOn w:val="Domylnaczcionkaakapitu"/>
    <w:link w:val="Tekstprzypisudolnego"/>
    <w:uiPriority w:val="99"/>
    <w:rsid w:val="00BF0202"/>
    <w:rPr>
      <w:rFonts w:ascii="Calibri" w:eastAsia="Calibri" w:hAnsi="Calibri" w:cs="Times New Roman"/>
      <w:sz w:val="20"/>
      <w:szCs w:val="20"/>
    </w:rPr>
  </w:style>
  <w:style w:type="character" w:styleId="Odwoanieprzypisudolnego">
    <w:name w:val="footnote reference"/>
    <w:aliases w:val="FZ,Footnote symbol,Voetnootverwijzing,Footnote reference number"/>
    <w:basedOn w:val="Domylnaczcionkaakapitu"/>
    <w:uiPriority w:val="99"/>
    <w:unhideWhenUsed/>
    <w:rsid w:val="00BF0202"/>
    <w:rPr>
      <w:vertAlign w:val="superscript"/>
    </w:rPr>
  </w:style>
  <w:style w:type="paragraph" w:customStyle="1" w:styleId="Data">
    <w:name w:val="§_Data"/>
    <w:basedOn w:val="Normalny"/>
    <w:link w:val="DataZnak"/>
    <w:qFormat/>
    <w:rsid w:val="00BF0202"/>
    <w:pPr>
      <w:spacing w:before="360" w:after="360"/>
      <w:jc w:val="right"/>
    </w:pPr>
    <w:rPr>
      <w:rFonts w:ascii="Calibri" w:eastAsia="Calibri" w:hAnsi="Calibri" w:cs="Times New Roman"/>
    </w:rPr>
  </w:style>
  <w:style w:type="paragraph" w:customStyle="1" w:styleId="adresat1">
    <w:name w:val="§_adresat_1"/>
    <w:basedOn w:val="Normalny"/>
    <w:link w:val="adresat1Znak"/>
    <w:qFormat/>
    <w:rsid w:val="00BF0202"/>
    <w:pPr>
      <w:spacing w:after="0"/>
      <w:jc w:val="right"/>
    </w:pPr>
    <w:rPr>
      <w:rFonts w:ascii="Calibri" w:eastAsia="Calibri" w:hAnsi="Calibri" w:cs="Times New Roman"/>
      <w:b/>
    </w:rPr>
  </w:style>
  <w:style w:type="character" w:customStyle="1" w:styleId="DataZnak">
    <w:name w:val="§_Data Znak"/>
    <w:basedOn w:val="Domylnaczcionkaakapitu"/>
    <w:link w:val="Data"/>
    <w:rsid w:val="00BF0202"/>
    <w:rPr>
      <w:rFonts w:ascii="Calibri" w:eastAsia="Calibri" w:hAnsi="Calibri" w:cs="Times New Roman"/>
    </w:rPr>
  </w:style>
  <w:style w:type="paragraph" w:customStyle="1" w:styleId="adresat2">
    <w:name w:val="§_adresat_2"/>
    <w:basedOn w:val="Normalny"/>
    <w:link w:val="adresat2Znak"/>
    <w:qFormat/>
    <w:rsid w:val="00BF0202"/>
    <w:pPr>
      <w:spacing w:after="0"/>
      <w:jc w:val="right"/>
    </w:pPr>
    <w:rPr>
      <w:rFonts w:ascii="Calibri" w:eastAsia="Calibri" w:hAnsi="Calibri" w:cs="Times New Roman"/>
    </w:rPr>
  </w:style>
  <w:style w:type="character" w:customStyle="1" w:styleId="adresat1Znak">
    <w:name w:val="§_adresat_1 Znak"/>
    <w:basedOn w:val="Domylnaczcionkaakapitu"/>
    <w:link w:val="adresat1"/>
    <w:rsid w:val="00BF0202"/>
    <w:rPr>
      <w:rFonts w:ascii="Calibri" w:eastAsia="Calibri" w:hAnsi="Calibri" w:cs="Times New Roman"/>
      <w:b/>
    </w:rPr>
  </w:style>
  <w:style w:type="character" w:customStyle="1" w:styleId="adresat2Znak">
    <w:name w:val="§_adresat_2 Znak"/>
    <w:basedOn w:val="Domylnaczcionkaakapitu"/>
    <w:link w:val="adresat2"/>
    <w:rsid w:val="00BF0202"/>
    <w:rPr>
      <w:rFonts w:ascii="Calibri" w:eastAsia="Calibri" w:hAnsi="Calibri" w:cs="Times New Roman"/>
    </w:rPr>
  </w:style>
  <w:style w:type="paragraph" w:customStyle="1" w:styleId="tytu">
    <w:name w:val="§_tytuł"/>
    <w:basedOn w:val="Normalny"/>
    <w:link w:val="tytuZnak"/>
    <w:qFormat/>
    <w:rsid w:val="00BF0202"/>
    <w:pPr>
      <w:spacing w:before="840" w:after="0" w:line="240" w:lineRule="auto"/>
      <w:jc w:val="center"/>
    </w:pPr>
    <w:rPr>
      <w:rFonts w:ascii="Calibri" w:eastAsia="Calibri" w:hAnsi="Calibri" w:cs="Times New Roman"/>
      <w:b/>
    </w:rPr>
  </w:style>
  <w:style w:type="character" w:customStyle="1" w:styleId="tytuZnak">
    <w:name w:val="§_tytuł Znak"/>
    <w:basedOn w:val="Domylnaczcionkaakapitu"/>
    <w:link w:val="tytu"/>
    <w:rsid w:val="00BF0202"/>
    <w:rPr>
      <w:rFonts w:ascii="Calibri" w:eastAsia="Calibri" w:hAnsi="Calibri" w:cs="Times New Roman"/>
      <w:b/>
    </w:rPr>
  </w:style>
  <w:style w:type="paragraph" w:customStyle="1" w:styleId="przypis">
    <w:name w:val="§_przypis"/>
    <w:basedOn w:val="Tekstprzypisudolnego"/>
    <w:link w:val="przypisZnak"/>
    <w:qFormat/>
    <w:rsid w:val="00BF0202"/>
    <w:pPr>
      <w:jc w:val="both"/>
    </w:pPr>
  </w:style>
  <w:style w:type="character" w:customStyle="1" w:styleId="przypisZnak">
    <w:name w:val="§_przypis Znak"/>
    <w:basedOn w:val="TekstprzypisudolnegoZnak"/>
    <w:link w:val="przypis"/>
    <w:rsid w:val="00BF0202"/>
    <w:rPr>
      <w:rFonts w:ascii="Calibri" w:eastAsia="Calibri" w:hAnsi="Calibri" w:cs="Times New Roman"/>
      <w:sz w:val="20"/>
      <w:szCs w:val="20"/>
    </w:rPr>
  </w:style>
  <w:style w:type="character" w:styleId="Hipercze">
    <w:name w:val="Hyperlink"/>
    <w:basedOn w:val="Domylnaczcionkaakapitu"/>
    <w:uiPriority w:val="99"/>
    <w:unhideWhenUsed/>
    <w:rsid w:val="0077667D"/>
    <w:rPr>
      <w:color w:val="0000FF"/>
      <w:u w:val="single"/>
    </w:rPr>
  </w:style>
  <w:style w:type="character" w:customStyle="1" w:styleId="footnote">
    <w:name w:val="footnote"/>
    <w:basedOn w:val="Domylnaczcionkaakapitu"/>
    <w:rsid w:val="00E1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roele.ne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otr.frelak@rkkw.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jxw62zogi3damzyhazte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C1B3-7E58-4076-AEFD-40A5373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2319</Words>
  <Characters>13915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Marta Kosmowska</cp:lastModifiedBy>
  <cp:revision>2</cp:revision>
  <cp:lastPrinted>2022-10-24T10:39:00Z</cp:lastPrinted>
  <dcterms:created xsi:type="dcterms:W3CDTF">2023-03-16T13:16:00Z</dcterms:created>
  <dcterms:modified xsi:type="dcterms:W3CDTF">2023-03-16T13:16:00Z</dcterms:modified>
</cp:coreProperties>
</file>